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C5743" w:rsidP="009D55D8">
            <w:pPr>
              <w:rPr>
                <w:b/>
              </w:rPr>
            </w:pPr>
            <w:r>
              <w:rPr>
                <w:rStyle w:val="Firstpagetablebold"/>
              </w:rPr>
              <w:t>13 June</w:t>
            </w:r>
            <w:r w:rsidR="009D55D8">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D55D8" w:rsidP="004A6D2F">
            <w:pPr>
              <w:rPr>
                <w:rStyle w:val="Firstpagetablebold"/>
              </w:rPr>
            </w:pPr>
            <w:r>
              <w:rPr>
                <w:rStyle w:val="Firstpagetablebold"/>
              </w:rPr>
              <w:t>Head 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D55D8" w:rsidP="004A6D2F">
            <w:pPr>
              <w:rPr>
                <w:rStyle w:val="Firstpagetablebold"/>
              </w:rPr>
            </w:pPr>
            <w:r>
              <w:rPr>
                <w:rStyle w:val="Firstpagetablebold"/>
              </w:rPr>
              <w:t xml:space="preserve">Extension of Home Choice Pilot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D55D8" w:rsidP="009D55D8">
            <w:r>
              <w:t>To provide a review of the first year of the Home Choice pilot and to approve in principle, the extension of the pilot to March 2019.</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D55D8">
            <w:r w:rsidRPr="001356F1">
              <w:t xml:space="preserve">Councillor </w:t>
            </w:r>
            <w:r w:rsidR="009D55D8">
              <w:t>Mike Rowley</w:t>
            </w:r>
            <w:r w:rsidRPr="001356F1">
              <w:t xml:space="preserve">, </w:t>
            </w:r>
            <w:r w:rsidR="009D55D8">
              <w:t>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D55D8" w:rsidP="005F7F7E">
            <w:r>
              <w:t>Meeting Housing Needs</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D55D8" w:rsidP="009D55D8">
            <w:r>
              <w:t xml:space="preserve">Housing Strategy, Financial </w:t>
            </w:r>
            <w:r w:rsidR="006E2B6F">
              <w:t>Inclusion</w:t>
            </w:r>
            <w:r>
              <w:t xml:space="preserve">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703EF3" w:rsidP="004A6D2F">
            <w:bookmarkStart w:id="0" w:name="_GoBack" w:colFirst="0" w:colLast="1"/>
            <w:proofErr w:type="spellStart"/>
            <w:r>
              <w:rPr>
                <w:rStyle w:val="Firstpagetablebold"/>
              </w:rPr>
              <w:t>Recommendations</w:t>
            </w:r>
            <w:r w:rsidR="005F7F7E">
              <w:rPr>
                <w:rStyle w:val="Firstpagetablebold"/>
              </w:rPr>
              <w:t>:</w:t>
            </w:r>
            <w:r w:rsidR="005F7F7E" w:rsidRPr="00703EF3">
              <w:rPr>
                <w:rStyle w:val="Firstpagetablebold"/>
                <w:b w:val="0"/>
              </w:rPr>
              <w:t>That</w:t>
            </w:r>
            <w:proofErr w:type="spellEnd"/>
            <w:r w:rsidR="005F7F7E" w:rsidRPr="00703EF3">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E2B6F" w:rsidP="002069B3">
            <w:r>
              <w:rPr>
                <w:rStyle w:val="Firstpagetablebold"/>
              </w:rPr>
              <w:t xml:space="preserve">Approve </w:t>
            </w:r>
            <w:r w:rsidRPr="00703EF3">
              <w:rPr>
                <w:rStyle w:val="Firstpagetablebold"/>
                <w:b w:val="0"/>
              </w:rPr>
              <w:t>in principle, the extension of the Home Choice pilot until March 2019</w:t>
            </w:r>
            <w:r w:rsidR="00703EF3">
              <w:rPr>
                <w:rStyle w:val="Firstpagetablebold"/>
                <w:b w:val="0"/>
              </w:rPr>
              <w:t xml:space="preserve">; and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421C6E" w:rsidP="002069B3">
            <w:r w:rsidRPr="00421C6E">
              <w:rPr>
                <w:rStyle w:val="Firstpagetablebold"/>
              </w:rPr>
              <w:t xml:space="preserve">Instruct </w:t>
            </w:r>
            <w:r w:rsidRPr="00703EF3">
              <w:rPr>
                <w:rStyle w:val="Firstpagetablebold"/>
                <w:b w:val="0"/>
              </w:rPr>
              <w:t>the Head of Housing to undertake a further review of the pilot later this year, and report the findings to CEB in October 2018.</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C7565" w:rsidP="004A6D2F">
            <w:r>
              <w:t>Customer case studies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BC7565" w:rsidP="004A6D2F">
            <w:r w:rsidRPr="00BC7565">
              <w:t>Impact of pilot on service areas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BC7565" w:rsidP="004A6D2F">
            <w:r>
              <w:t>Risk Register</w:t>
            </w:r>
          </w:p>
        </w:tc>
      </w:tr>
    </w:tbl>
    <w:p w:rsidR="0040736F" w:rsidRDefault="00F66DCA" w:rsidP="004A6D2F">
      <w:pPr>
        <w:pStyle w:val="Heading1"/>
      </w:pPr>
      <w:r w:rsidRPr="001356F1">
        <w:t>Introduction and b</w:t>
      </w:r>
      <w:r w:rsidR="00151888" w:rsidRPr="001356F1">
        <w:t>ackground</w:t>
      </w:r>
      <w:r w:rsidR="00404032" w:rsidRPr="001356F1">
        <w:t xml:space="preserve"> </w:t>
      </w:r>
    </w:p>
    <w:p w:rsidR="002C32E9" w:rsidRPr="002C32E9" w:rsidRDefault="002C32E9" w:rsidP="002C32E9">
      <w:pPr>
        <w:numPr>
          <w:ilvl w:val="0"/>
          <w:numId w:val="34"/>
        </w:numPr>
        <w:spacing w:after="0"/>
      </w:pPr>
      <w:r w:rsidRPr="002C32E9">
        <w:t>In 2003 the Council established a private rented sector access scheme branded Home Choice as part of the new Housing Options and Prevention Service. The Home Choice Scheme provides housing in the private rented sector to people at risk of homelessness.  The scheme’s objectives are to reduce homelessness, and the cost of placing people in temporary accommodation.  The scheme has been very successful, with 900 households currently housed under its provisions and over 1800 families helped. However, yearly new starts have been falling for some time, and alternative approaches need to be considered to avoid increasing pressure on temporary accommodation.</w:t>
      </w:r>
    </w:p>
    <w:p w:rsidR="002C32E9" w:rsidRPr="002C32E9" w:rsidRDefault="002C32E9" w:rsidP="002C32E9">
      <w:pPr>
        <w:spacing w:after="0"/>
      </w:pPr>
    </w:p>
    <w:p w:rsidR="002C32E9" w:rsidRPr="002C32E9" w:rsidRDefault="002C32E9" w:rsidP="002C32E9">
      <w:pPr>
        <w:numPr>
          <w:ilvl w:val="0"/>
          <w:numId w:val="34"/>
        </w:numPr>
        <w:spacing w:after="0"/>
        <w:rPr>
          <w:rFonts w:eastAsia="Calibri" w:cs="Arial"/>
          <w:color w:val="auto"/>
        </w:rPr>
      </w:pPr>
      <w:r w:rsidRPr="002C32E9">
        <w:rPr>
          <w:rFonts w:eastAsia="Calibri"/>
        </w:rPr>
        <w:t>The main reason for the reduction in new starts under the Home Choice scheme is the high cost of renting privately in Oxford.  Since Local Housing Allowance rates were capped in 2011, and then frozen from 2016 until 2020, the gap between Housing Benefit (</w:t>
      </w:r>
      <w:proofErr w:type="gramStart"/>
      <w:r w:rsidRPr="002C32E9">
        <w:rPr>
          <w:rFonts w:eastAsia="Calibri"/>
        </w:rPr>
        <w:t>or</w:t>
      </w:r>
      <w:proofErr w:type="gramEnd"/>
      <w:r w:rsidRPr="002C32E9">
        <w:rPr>
          <w:rFonts w:eastAsia="Calibri"/>
        </w:rPr>
        <w:t xml:space="preserve"> the Housing Cost Element in Universal Credit) and </w:t>
      </w:r>
      <w:r w:rsidRPr="002C32E9">
        <w:rPr>
          <w:rFonts w:eastAsia="Calibri"/>
        </w:rPr>
        <w:lastRenderedPageBreak/>
        <w:t xml:space="preserve">market rents has been increasing every year. </w:t>
      </w:r>
      <w:r w:rsidRPr="002C32E9">
        <w:rPr>
          <w:rFonts w:eastAsia="Calibri" w:cs="Arial"/>
          <w:color w:val="auto"/>
        </w:rPr>
        <w:t>Table one below shows the shortfall at April 2017 according to the Valuation Office Agency.</w:t>
      </w:r>
    </w:p>
    <w:p w:rsidR="002C32E9" w:rsidRPr="002C32E9" w:rsidRDefault="002C32E9" w:rsidP="002C32E9">
      <w:pPr>
        <w:spacing w:after="0"/>
        <w:rPr>
          <w:rFonts w:eastAsia="Calibri" w:cs="Arial"/>
          <w:color w:val="auto"/>
        </w:rPr>
      </w:pPr>
    </w:p>
    <w:p w:rsidR="002C32E9" w:rsidRPr="002C32E9" w:rsidRDefault="002C32E9" w:rsidP="002C32E9">
      <w:pPr>
        <w:spacing w:after="0"/>
        <w:ind w:left="720"/>
        <w:rPr>
          <w:rFonts w:eastAsia="Calibri" w:cs="Arial"/>
          <w:b/>
          <w:color w:val="auto"/>
        </w:rPr>
      </w:pPr>
      <w:r w:rsidRPr="002C32E9">
        <w:rPr>
          <w:rFonts w:eastAsia="Calibri" w:cs="Arial"/>
          <w:b/>
          <w:color w:val="auto"/>
        </w:rPr>
        <w:t xml:space="preserve">Table One </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701"/>
        <w:gridCol w:w="1569"/>
      </w:tblGrid>
      <w:tr w:rsidR="002C32E9" w:rsidRPr="002C32E9" w:rsidTr="002C32E9">
        <w:trPr>
          <w:trHeight w:val="306"/>
        </w:trPr>
        <w:tc>
          <w:tcPr>
            <w:tcW w:w="1384" w:type="dxa"/>
            <w:shd w:val="clear" w:color="auto" w:fill="auto"/>
            <w:noWrap/>
            <w:hideMark/>
          </w:tcPr>
          <w:p w:rsidR="002C32E9" w:rsidRPr="002C32E9" w:rsidRDefault="002C32E9" w:rsidP="002C32E9">
            <w:pPr>
              <w:spacing w:after="0"/>
              <w:rPr>
                <w:rFonts w:eastAsia="Calibri"/>
                <w:b/>
                <w:bCs/>
              </w:rPr>
            </w:pPr>
            <w:r w:rsidRPr="002C32E9">
              <w:rPr>
                <w:rFonts w:eastAsia="Calibri"/>
                <w:b/>
                <w:bCs/>
              </w:rPr>
              <w:t>Property size</w:t>
            </w:r>
          </w:p>
        </w:tc>
        <w:tc>
          <w:tcPr>
            <w:tcW w:w="1418" w:type="dxa"/>
            <w:shd w:val="clear" w:color="auto" w:fill="auto"/>
            <w:noWrap/>
            <w:hideMark/>
          </w:tcPr>
          <w:p w:rsidR="002C32E9" w:rsidRPr="002C32E9" w:rsidRDefault="002C32E9" w:rsidP="002C32E9">
            <w:pPr>
              <w:spacing w:after="0"/>
              <w:rPr>
                <w:rFonts w:eastAsia="Calibri"/>
                <w:b/>
                <w:bCs/>
              </w:rPr>
            </w:pPr>
            <w:r w:rsidRPr="002C32E9">
              <w:rPr>
                <w:rFonts w:eastAsia="Calibri"/>
                <w:b/>
                <w:bCs/>
              </w:rPr>
              <w:t>Monthly LHA Rate</w:t>
            </w:r>
          </w:p>
        </w:tc>
        <w:tc>
          <w:tcPr>
            <w:tcW w:w="1701" w:type="dxa"/>
            <w:shd w:val="clear" w:color="auto" w:fill="auto"/>
            <w:noWrap/>
            <w:hideMark/>
          </w:tcPr>
          <w:p w:rsidR="002C32E9" w:rsidRPr="002C32E9" w:rsidRDefault="002C32E9" w:rsidP="002C32E9">
            <w:pPr>
              <w:spacing w:after="0"/>
              <w:rPr>
                <w:rFonts w:eastAsia="Calibri"/>
                <w:b/>
                <w:bCs/>
              </w:rPr>
            </w:pPr>
            <w:r w:rsidRPr="002C32E9">
              <w:rPr>
                <w:rFonts w:eastAsia="Calibri"/>
                <w:b/>
                <w:bCs/>
              </w:rPr>
              <w:t>Median Market Rent</w:t>
            </w:r>
          </w:p>
        </w:tc>
        <w:tc>
          <w:tcPr>
            <w:tcW w:w="1569" w:type="dxa"/>
            <w:shd w:val="clear" w:color="auto" w:fill="auto"/>
            <w:noWrap/>
            <w:hideMark/>
          </w:tcPr>
          <w:p w:rsidR="002C32E9" w:rsidRPr="002C32E9" w:rsidRDefault="002C32E9" w:rsidP="002C32E9">
            <w:pPr>
              <w:spacing w:after="0"/>
              <w:rPr>
                <w:rFonts w:eastAsia="Calibri"/>
                <w:b/>
                <w:bCs/>
              </w:rPr>
            </w:pPr>
            <w:r w:rsidRPr="002C32E9">
              <w:rPr>
                <w:rFonts w:eastAsia="Calibri"/>
                <w:b/>
                <w:bCs/>
              </w:rPr>
              <w:t>Gap to LHA</w:t>
            </w:r>
          </w:p>
        </w:tc>
      </w:tr>
      <w:tr w:rsidR="002C32E9" w:rsidRPr="002C32E9" w:rsidTr="002C32E9">
        <w:trPr>
          <w:trHeight w:val="306"/>
        </w:trPr>
        <w:tc>
          <w:tcPr>
            <w:tcW w:w="1384" w:type="dxa"/>
            <w:shd w:val="clear" w:color="auto" w:fill="auto"/>
            <w:noWrap/>
            <w:hideMark/>
          </w:tcPr>
          <w:p w:rsidR="002C32E9" w:rsidRPr="002C32E9" w:rsidRDefault="002C32E9" w:rsidP="002C32E9">
            <w:pPr>
              <w:spacing w:after="0"/>
              <w:rPr>
                <w:rFonts w:eastAsia="Calibri"/>
              </w:rPr>
            </w:pPr>
            <w:r w:rsidRPr="002C32E9">
              <w:rPr>
                <w:rFonts w:eastAsia="Calibri"/>
              </w:rPr>
              <w:t>2 bedroom</w:t>
            </w:r>
          </w:p>
        </w:tc>
        <w:tc>
          <w:tcPr>
            <w:tcW w:w="1418" w:type="dxa"/>
            <w:shd w:val="clear" w:color="auto" w:fill="auto"/>
            <w:noWrap/>
            <w:hideMark/>
          </w:tcPr>
          <w:p w:rsidR="002C32E9" w:rsidRPr="002C32E9" w:rsidRDefault="002C32E9" w:rsidP="002C32E9">
            <w:pPr>
              <w:spacing w:after="0"/>
              <w:rPr>
                <w:rFonts w:eastAsia="Calibri"/>
              </w:rPr>
            </w:pPr>
            <w:r w:rsidRPr="002C32E9">
              <w:rPr>
                <w:rFonts w:eastAsia="Calibri"/>
              </w:rPr>
              <w:t>£834</w:t>
            </w:r>
          </w:p>
        </w:tc>
        <w:tc>
          <w:tcPr>
            <w:tcW w:w="1701" w:type="dxa"/>
            <w:shd w:val="clear" w:color="auto" w:fill="auto"/>
            <w:noWrap/>
            <w:hideMark/>
          </w:tcPr>
          <w:p w:rsidR="002C32E9" w:rsidRPr="002C32E9" w:rsidRDefault="002C32E9" w:rsidP="002C32E9">
            <w:pPr>
              <w:spacing w:after="0"/>
              <w:rPr>
                <w:rFonts w:eastAsia="Calibri"/>
              </w:rPr>
            </w:pPr>
            <w:r w:rsidRPr="002C32E9">
              <w:rPr>
                <w:rFonts w:eastAsia="Calibri"/>
              </w:rPr>
              <w:t>£1150</w:t>
            </w:r>
          </w:p>
        </w:tc>
        <w:tc>
          <w:tcPr>
            <w:tcW w:w="1569" w:type="dxa"/>
            <w:shd w:val="clear" w:color="auto" w:fill="auto"/>
            <w:noWrap/>
            <w:hideMark/>
          </w:tcPr>
          <w:p w:rsidR="002C32E9" w:rsidRPr="002C32E9" w:rsidRDefault="002C32E9" w:rsidP="002C32E9">
            <w:pPr>
              <w:spacing w:after="0"/>
              <w:rPr>
                <w:rFonts w:eastAsia="Calibri"/>
              </w:rPr>
            </w:pPr>
            <w:r w:rsidRPr="002C32E9">
              <w:rPr>
                <w:rFonts w:eastAsia="Calibri"/>
              </w:rPr>
              <w:t>£316</w:t>
            </w:r>
          </w:p>
        </w:tc>
      </w:tr>
      <w:tr w:rsidR="002C32E9" w:rsidRPr="002C32E9" w:rsidTr="002C32E9">
        <w:trPr>
          <w:trHeight w:val="306"/>
        </w:trPr>
        <w:tc>
          <w:tcPr>
            <w:tcW w:w="1384" w:type="dxa"/>
            <w:shd w:val="clear" w:color="auto" w:fill="auto"/>
            <w:noWrap/>
            <w:hideMark/>
          </w:tcPr>
          <w:p w:rsidR="002C32E9" w:rsidRPr="002C32E9" w:rsidRDefault="002C32E9" w:rsidP="002C32E9">
            <w:pPr>
              <w:spacing w:after="0"/>
              <w:rPr>
                <w:rFonts w:eastAsia="Calibri"/>
              </w:rPr>
            </w:pPr>
            <w:r w:rsidRPr="002C32E9">
              <w:rPr>
                <w:rFonts w:eastAsia="Calibri"/>
              </w:rPr>
              <w:t>3 bedroom</w:t>
            </w:r>
          </w:p>
        </w:tc>
        <w:tc>
          <w:tcPr>
            <w:tcW w:w="1418" w:type="dxa"/>
            <w:shd w:val="clear" w:color="auto" w:fill="auto"/>
            <w:noWrap/>
            <w:hideMark/>
          </w:tcPr>
          <w:p w:rsidR="002C32E9" w:rsidRPr="002C32E9" w:rsidRDefault="002C32E9" w:rsidP="002C32E9">
            <w:pPr>
              <w:spacing w:after="0"/>
              <w:rPr>
                <w:rFonts w:eastAsia="Calibri"/>
              </w:rPr>
            </w:pPr>
            <w:r w:rsidRPr="002C32E9">
              <w:rPr>
                <w:rFonts w:eastAsia="Calibri"/>
              </w:rPr>
              <w:t>£997</w:t>
            </w:r>
          </w:p>
        </w:tc>
        <w:tc>
          <w:tcPr>
            <w:tcW w:w="1701" w:type="dxa"/>
            <w:shd w:val="clear" w:color="auto" w:fill="auto"/>
            <w:noWrap/>
            <w:hideMark/>
          </w:tcPr>
          <w:p w:rsidR="002C32E9" w:rsidRPr="002C32E9" w:rsidRDefault="002C32E9" w:rsidP="002C32E9">
            <w:pPr>
              <w:spacing w:after="0"/>
              <w:rPr>
                <w:rFonts w:eastAsia="Calibri"/>
              </w:rPr>
            </w:pPr>
            <w:r w:rsidRPr="002C32E9">
              <w:rPr>
                <w:rFonts w:eastAsia="Calibri"/>
              </w:rPr>
              <w:t>£1425</w:t>
            </w:r>
          </w:p>
        </w:tc>
        <w:tc>
          <w:tcPr>
            <w:tcW w:w="1569" w:type="dxa"/>
            <w:shd w:val="clear" w:color="auto" w:fill="auto"/>
            <w:noWrap/>
            <w:hideMark/>
          </w:tcPr>
          <w:p w:rsidR="002C32E9" w:rsidRPr="002C32E9" w:rsidRDefault="002C32E9" w:rsidP="002C32E9">
            <w:pPr>
              <w:spacing w:after="0"/>
              <w:rPr>
                <w:rFonts w:eastAsia="Calibri"/>
              </w:rPr>
            </w:pPr>
            <w:r w:rsidRPr="002C32E9">
              <w:rPr>
                <w:rFonts w:eastAsia="Calibri"/>
              </w:rPr>
              <w:t>£428</w:t>
            </w:r>
          </w:p>
        </w:tc>
      </w:tr>
      <w:tr w:rsidR="002C32E9" w:rsidRPr="002C32E9" w:rsidTr="002C32E9">
        <w:trPr>
          <w:trHeight w:val="306"/>
        </w:trPr>
        <w:tc>
          <w:tcPr>
            <w:tcW w:w="1384" w:type="dxa"/>
            <w:shd w:val="clear" w:color="auto" w:fill="auto"/>
            <w:noWrap/>
            <w:hideMark/>
          </w:tcPr>
          <w:p w:rsidR="002C32E9" w:rsidRPr="002C32E9" w:rsidRDefault="002C32E9" w:rsidP="002C32E9">
            <w:pPr>
              <w:spacing w:after="0"/>
              <w:rPr>
                <w:rFonts w:eastAsia="Calibri"/>
              </w:rPr>
            </w:pPr>
            <w:r w:rsidRPr="002C32E9">
              <w:rPr>
                <w:rFonts w:eastAsia="Calibri"/>
              </w:rPr>
              <w:t>4 bedroom</w:t>
            </w:r>
          </w:p>
        </w:tc>
        <w:tc>
          <w:tcPr>
            <w:tcW w:w="1418" w:type="dxa"/>
            <w:shd w:val="clear" w:color="auto" w:fill="auto"/>
            <w:noWrap/>
            <w:hideMark/>
          </w:tcPr>
          <w:p w:rsidR="002C32E9" w:rsidRPr="002C32E9" w:rsidRDefault="002C32E9" w:rsidP="002C32E9">
            <w:pPr>
              <w:spacing w:after="0"/>
              <w:rPr>
                <w:rFonts w:eastAsia="Calibri"/>
              </w:rPr>
            </w:pPr>
            <w:r w:rsidRPr="002C32E9">
              <w:rPr>
                <w:rFonts w:eastAsia="Calibri"/>
              </w:rPr>
              <w:t>£1296</w:t>
            </w:r>
          </w:p>
        </w:tc>
        <w:tc>
          <w:tcPr>
            <w:tcW w:w="1701" w:type="dxa"/>
            <w:shd w:val="clear" w:color="auto" w:fill="auto"/>
            <w:noWrap/>
            <w:hideMark/>
          </w:tcPr>
          <w:p w:rsidR="002C32E9" w:rsidRPr="002C32E9" w:rsidRDefault="002C32E9" w:rsidP="002C32E9">
            <w:pPr>
              <w:spacing w:after="0"/>
              <w:rPr>
                <w:rFonts w:eastAsia="Calibri"/>
              </w:rPr>
            </w:pPr>
            <w:r w:rsidRPr="002C32E9">
              <w:rPr>
                <w:rFonts w:eastAsia="Calibri"/>
              </w:rPr>
              <w:t>£2200</w:t>
            </w:r>
          </w:p>
        </w:tc>
        <w:tc>
          <w:tcPr>
            <w:tcW w:w="1569" w:type="dxa"/>
            <w:shd w:val="clear" w:color="auto" w:fill="auto"/>
            <w:noWrap/>
            <w:hideMark/>
          </w:tcPr>
          <w:p w:rsidR="002C32E9" w:rsidRPr="002C32E9" w:rsidRDefault="002C32E9" w:rsidP="002C32E9">
            <w:pPr>
              <w:spacing w:after="0"/>
              <w:rPr>
                <w:rFonts w:eastAsia="Calibri"/>
              </w:rPr>
            </w:pPr>
            <w:r w:rsidRPr="002C32E9">
              <w:rPr>
                <w:rFonts w:eastAsia="Calibri"/>
              </w:rPr>
              <w:t>£904</w:t>
            </w:r>
          </w:p>
        </w:tc>
      </w:tr>
    </w:tbl>
    <w:p w:rsidR="002C32E9" w:rsidRPr="002C32E9" w:rsidRDefault="002C32E9" w:rsidP="002C32E9">
      <w:pPr>
        <w:tabs>
          <w:tab w:val="left" w:pos="426"/>
        </w:tabs>
        <w:ind w:left="426"/>
      </w:pPr>
    </w:p>
    <w:p w:rsidR="002C32E9" w:rsidRDefault="002C32E9" w:rsidP="002C32E9">
      <w:pPr>
        <w:numPr>
          <w:ilvl w:val="0"/>
          <w:numId w:val="34"/>
        </w:numPr>
        <w:spacing w:after="0"/>
        <w:rPr>
          <w:rFonts w:eastAsia="Calibri" w:cs="Arial"/>
          <w:color w:val="auto"/>
        </w:rPr>
      </w:pPr>
      <w:r w:rsidRPr="002C32E9">
        <w:rPr>
          <w:rFonts w:eastAsia="Calibri" w:cs="Arial"/>
          <w:color w:val="auto"/>
        </w:rPr>
        <w:t>Tenants housed by Home Choice receive payments to top-up their Housing Benefit to the level of the agreed rent charged. These are usually paid as a matter of course to minimise the landlord’s financial risk. However, other private tenants seeking support from the Council by applying for a Discretionary Housing Payment (DHP) are required to undertake activities to reduce their need for a DHP, such as looking for work. Despite the decrease in Home Choice new starts (</w:t>
      </w:r>
      <w:r w:rsidRPr="002C32E9">
        <w:rPr>
          <w:rFonts w:eastAsia="Calibri" w:cs="Arial"/>
          <w:color w:val="auto"/>
          <w:lang w:eastAsia="en-US"/>
        </w:rPr>
        <w:t>79 in 2015/16 compared to 200 in 2010/11)</w:t>
      </w:r>
      <w:r w:rsidRPr="002C32E9">
        <w:rPr>
          <w:rFonts w:eastAsia="Calibri" w:cs="Arial"/>
          <w:color w:val="auto"/>
        </w:rPr>
        <w:t>, the volume and amount of top-up payments were still increasing in 2016 (as shown in Graph One below). Long term this was going to have a significant financial impact on the Council and most importantly fail to deliver sustainable outcomes for residents housed in the private rented sector.</w:t>
      </w:r>
    </w:p>
    <w:p w:rsidR="00C73A49" w:rsidRPr="002C32E9" w:rsidRDefault="00C73A49" w:rsidP="00C73A49">
      <w:pPr>
        <w:spacing w:after="0"/>
        <w:ind w:left="720"/>
        <w:rPr>
          <w:rFonts w:eastAsia="Calibri" w:cs="Arial"/>
          <w:color w:val="auto"/>
        </w:rPr>
      </w:pPr>
    </w:p>
    <w:p w:rsidR="002C32E9" w:rsidRPr="002C32E9" w:rsidRDefault="002C32E9" w:rsidP="002C32E9">
      <w:pPr>
        <w:spacing w:after="0"/>
        <w:ind w:left="720"/>
        <w:rPr>
          <w:rFonts w:eastAsia="Calibri" w:cs="Arial"/>
          <w:b/>
          <w:color w:val="auto"/>
        </w:rPr>
      </w:pPr>
      <w:r w:rsidRPr="002C32E9">
        <w:rPr>
          <w:rFonts w:eastAsia="Calibri" w:cs="Arial"/>
          <w:b/>
          <w:color w:val="auto"/>
        </w:rPr>
        <w:t>Graph One</w:t>
      </w:r>
    </w:p>
    <w:p w:rsidR="002C32E9" w:rsidRPr="002C32E9" w:rsidRDefault="00BB0801" w:rsidP="002C32E9">
      <w:pPr>
        <w:spacing w:after="0"/>
        <w:ind w:left="720"/>
        <w:rPr>
          <w:rFonts w:eastAsia="Calibri" w:cs="Arial"/>
          <w:color w:val="auto"/>
        </w:rPr>
      </w:pPr>
      <w:r>
        <w:rPr>
          <w:rFonts w:eastAsia="Calibri" w:cs="Arial"/>
          <w:noProof/>
          <w:color w:val="auto"/>
          <w:sz w:val="22"/>
          <w:szCs w:val="22"/>
        </w:rPr>
        <w:drawing>
          <wp:inline distT="0" distB="0" distL="0" distR="0">
            <wp:extent cx="4003040" cy="25806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040" cy="2580640"/>
                    </a:xfrm>
                    <a:prstGeom prst="rect">
                      <a:avLst/>
                    </a:prstGeom>
                    <a:noFill/>
                    <a:ln>
                      <a:noFill/>
                    </a:ln>
                  </pic:spPr>
                </pic:pic>
              </a:graphicData>
            </a:graphic>
          </wp:inline>
        </w:drawing>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The Home Choice Pilot (branded as Oxford Rent Guarantee for external marketing) was commenced to deal with the inequality in approach to private sector tenants outlined in the paragraph above. The pilot was agreed by CEB on 13 October 2016. </w:t>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Due to the disparity in market rents and Local Housing Allowance (LHA) rates, most PRS tenants have a shortfall in their Housing Benefit. This is not an issue for social tenants on low incomes who will get 100% of their rent paid for by Housing Benefit, unless they are affected by the Bedroom Tax or Benefit Cap.  Locally, the gap between LHA rates and market rents means it is not sustainable </w:t>
      </w:r>
      <w:r w:rsidRPr="002C32E9">
        <w:rPr>
          <w:rFonts w:eastAsia="Calibri" w:cs="Arial"/>
          <w:color w:val="auto"/>
        </w:rPr>
        <w:lastRenderedPageBreak/>
        <w:t xml:space="preserve">for people on low incomes to live in PRS accommodation, and the Council cannot afford to subsidise the difference on an ongoing basis. </w:t>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The pilot aims to reduce the cost to the council in topping up the rent of people placed in the PRS and most importantly to support those individuals so they can sustain their tenancy independently in the future. The pilot seeks to apply the support model used by the Welfare Reform Team which has been very successful in helping tenants faced by reductions in their housing benefit to sustain their tenancies, usually through accessing employment. The model seeks to empower tenants to take control of decisions which affect their family’s economic independence, moving them from dependence on support from the state and city council, towards greater self-reliance. </w:t>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The Housing Coach uses the provision of top-up payments as an incentive for tenants to work with him and to take action to improve their situation. The difference between the Home Choice Pilot and the work of the Welfare Reform team is a need to ensure the council has access to PRS properties. As such, in the pilot, the Council guarantees the rent to the landlord, paying in advance, and collects the rent owed from the tenants. This allows any additional support provided by the Council, in the form of a top-up payment, to be withdrawn without risking the Council’s access to the property. Where the tenant is in receipt of Housing Benefit, the benefit and any top-up payment is paid directly to the tenant, so they have the responsibility of paying their rent.</w:t>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The pilot will run for two years and aims to support a minimum of 80 tenants housed through the Home Choice Scheme. The pilot objectives are for:</w:t>
      </w:r>
    </w:p>
    <w:p w:rsidR="002C32E9" w:rsidRPr="002C32E9" w:rsidRDefault="002C32E9" w:rsidP="002C32E9">
      <w:pPr>
        <w:numPr>
          <w:ilvl w:val="0"/>
          <w:numId w:val="35"/>
        </w:numPr>
        <w:spacing w:after="0"/>
        <w:rPr>
          <w:rFonts w:eastAsia="Calibri" w:cs="Arial"/>
          <w:color w:val="auto"/>
        </w:rPr>
      </w:pPr>
      <w:r w:rsidRPr="002C32E9">
        <w:rPr>
          <w:rFonts w:eastAsia="Calibri" w:cs="Arial"/>
          <w:color w:val="auto"/>
        </w:rPr>
        <w:t>at least 20 tenants to become financially independent of the Council</w:t>
      </w:r>
    </w:p>
    <w:p w:rsidR="002C32E9" w:rsidRPr="002C32E9" w:rsidRDefault="002C32E9" w:rsidP="002C32E9">
      <w:pPr>
        <w:numPr>
          <w:ilvl w:val="0"/>
          <w:numId w:val="35"/>
        </w:numPr>
        <w:spacing w:after="0"/>
        <w:rPr>
          <w:rFonts w:eastAsia="Calibri" w:cs="Arial"/>
          <w:color w:val="auto"/>
        </w:rPr>
      </w:pPr>
      <w:r w:rsidRPr="002C32E9">
        <w:rPr>
          <w:rFonts w:eastAsia="Calibri" w:cs="Arial"/>
          <w:color w:val="auto"/>
        </w:rPr>
        <w:t>at least 64 tenants to engage in training, remove barriers to entering work, or increasing their earnings from work</w:t>
      </w:r>
    </w:p>
    <w:p w:rsidR="002C32E9" w:rsidRPr="002C32E9" w:rsidRDefault="002C32E9" w:rsidP="002C32E9">
      <w:pPr>
        <w:numPr>
          <w:ilvl w:val="0"/>
          <w:numId w:val="35"/>
        </w:numPr>
        <w:spacing w:after="0"/>
        <w:rPr>
          <w:rFonts w:eastAsia="Calibri" w:cs="Arial"/>
          <w:color w:val="auto"/>
        </w:rPr>
      </w:pPr>
      <w:r w:rsidRPr="002C32E9">
        <w:rPr>
          <w:rFonts w:eastAsia="Calibri" w:cs="Arial"/>
          <w:color w:val="auto"/>
        </w:rPr>
        <w:t>for 40 tenants to be migrated from the existing Home Choice</w:t>
      </w:r>
      <w:r w:rsidR="006E2B6F">
        <w:rPr>
          <w:rFonts w:eastAsia="Calibri" w:cs="Arial"/>
          <w:color w:val="auto"/>
        </w:rPr>
        <w:t xml:space="preserve"> scheme, and 40 to be sourced f</w:t>
      </w:r>
      <w:r w:rsidRPr="002C32E9">
        <w:rPr>
          <w:rFonts w:eastAsia="Calibri" w:cs="Arial"/>
          <w:color w:val="auto"/>
        </w:rPr>
        <w:t>r</w:t>
      </w:r>
      <w:r w:rsidR="006E2B6F">
        <w:rPr>
          <w:rFonts w:eastAsia="Calibri" w:cs="Arial"/>
          <w:color w:val="auto"/>
        </w:rPr>
        <w:t>o</w:t>
      </w:r>
      <w:r w:rsidRPr="002C32E9">
        <w:rPr>
          <w:rFonts w:eastAsia="Calibri" w:cs="Arial"/>
          <w:color w:val="auto"/>
        </w:rPr>
        <w:t>m new customers coming through Housing Options</w:t>
      </w:r>
    </w:p>
    <w:p w:rsidR="002C32E9" w:rsidRPr="002C32E9" w:rsidRDefault="002C32E9" w:rsidP="002C32E9">
      <w:pPr>
        <w:numPr>
          <w:ilvl w:val="0"/>
          <w:numId w:val="35"/>
        </w:numPr>
        <w:spacing w:after="0"/>
        <w:rPr>
          <w:rFonts w:eastAsia="Calibri" w:cs="Arial"/>
          <w:color w:val="auto"/>
        </w:rPr>
      </w:pPr>
      <w:r w:rsidRPr="002C32E9">
        <w:rPr>
          <w:rFonts w:eastAsia="Calibri" w:cs="Arial"/>
          <w:color w:val="auto"/>
        </w:rPr>
        <w:t>for 40 new properties to be secured for use in the pilot</w:t>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Outcomes being measured are as follows:</w:t>
      </w:r>
    </w:p>
    <w:p w:rsidR="002C32E9" w:rsidRPr="002C32E9" w:rsidRDefault="002C32E9" w:rsidP="002C32E9">
      <w:pPr>
        <w:numPr>
          <w:ilvl w:val="0"/>
          <w:numId w:val="36"/>
        </w:numPr>
        <w:spacing w:after="0"/>
        <w:rPr>
          <w:rFonts w:eastAsia="Calibri" w:cs="Arial"/>
          <w:color w:val="auto"/>
        </w:rPr>
      </w:pPr>
      <w:r w:rsidRPr="002C32E9">
        <w:rPr>
          <w:rFonts w:eastAsia="Calibri" w:cs="Arial"/>
          <w:color w:val="auto"/>
        </w:rPr>
        <w:t>The level of participant engagement in the project, both landlords and tenants</w:t>
      </w:r>
    </w:p>
    <w:p w:rsidR="002C32E9" w:rsidRPr="002C32E9" w:rsidRDefault="002C32E9" w:rsidP="002C32E9">
      <w:pPr>
        <w:numPr>
          <w:ilvl w:val="0"/>
          <w:numId w:val="36"/>
        </w:numPr>
        <w:spacing w:after="0"/>
        <w:rPr>
          <w:rFonts w:eastAsia="Calibri" w:cs="Arial"/>
          <w:color w:val="auto"/>
        </w:rPr>
      </w:pPr>
      <w:r w:rsidRPr="002C32E9">
        <w:rPr>
          <w:rFonts w:eastAsia="Calibri" w:cs="Arial"/>
          <w:color w:val="auto"/>
        </w:rPr>
        <w:t>The number of participants sustaining their tenancy independently (without a top-up) by the end of the project</w:t>
      </w:r>
    </w:p>
    <w:p w:rsidR="002C32E9" w:rsidRPr="002C32E9" w:rsidRDefault="002C32E9" w:rsidP="002C32E9">
      <w:pPr>
        <w:numPr>
          <w:ilvl w:val="0"/>
          <w:numId w:val="36"/>
        </w:numPr>
        <w:spacing w:after="0"/>
        <w:rPr>
          <w:rFonts w:eastAsia="Calibri" w:cs="Arial"/>
          <w:color w:val="auto"/>
        </w:rPr>
      </w:pPr>
      <w:r w:rsidRPr="002C32E9">
        <w:rPr>
          <w:rFonts w:eastAsia="Calibri" w:cs="Arial"/>
          <w:color w:val="auto"/>
        </w:rPr>
        <w:t>The number of out of work participants who move into work</w:t>
      </w:r>
    </w:p>
    <w:p w:rsidR="002C32E9" w:rsidRPr="002C32E9" w:rsidRDefault="002C32E9" w:rsidP="002C32E9">
      <w:pPr>
        <w:numPr>
          <w:ilvl w:val="0"/>
          <w:numId w:val="36"/>
        </w:numPr>
        <w:spacing w:after="0"/>
        <w:rPr>
          <w:rFonts w:eastAsia="Calibri" w:cs="Arial"/>
          <w:color w:val="auto"/>
        </w:rPr>
      </w:pPr>
      <w:r w:rsidRPr="002C32E9">
        <w:rPr>
          <w:rFonts w:eastAsia="Calibri" w:cs="Arial"/>
          <w:color w:val="auto"/>
        </w:rPr>
        <w:t>The number of in-work participants who increase the number of hours they work, or increase their earnings</w:t>
      </w:r>
    </w:p>
    <w:p w:rsidR="002C32E9" w:rsidRPr="002C32E9" w:rsidRDefault="002C32E9" w:rsidP="002C32E9">
      <w:pPr>
        <w:numPr>
          <w:ilvl w:val="0"/>
          <w:numId w:val="36"/>
        </w:numPr>
        <w:spacing w:after="0"/>
        <w:rPr>
          <w:rFonts w:eastAsia="Calibri" w:cs="Arial"/>
          <w:color w:val="auto"/>
        </w:rPr>
      </w:pPr>
      <w:r w:rsidRPr="002C32E9">
        <w:rPr>
          <w:rFonts w:eastAsia="Calibri" w:cs="Arial"/>
          <w:color w:val="auto"/>
        </w:rPr>
        <w:t>The number of participants who access training</w:t>
      </w:r>
    </w:p>
    <w:p w:rsidR="002C32E9" w:rsidRPr="002C32E9" w:rsidRDefault="002C32E9" w:rsidP="002C32E9">
      <w:pPr>
        <w:numPr>
          <w:ilvl w:val="0"/>
          <w:numId w:val="36"/>
        </w:numPr>
        <w:spacing w:after="0"/>
        <w:rPr>
          <w:rFonts w:eastAsia="Calibri" w:cs="Arial"/>
          <w:color w:val="auto"/>
        </w:rPr>
      </w:pPr>
      <w:r w:rsidRPr="002C32E9">
        <w:rPr>
          <w:rFonts w:eastAsia="Calibri" w:cs="Arial"/>
          <w:color w:val="auto"/>
        </w:rPr>
        <w:t>The number of participants who make progress following referral to support services (e.g. CAB for debt advice)</w:t>
      </w:r>
    </w:p>
    <w:p w:rsidR="002C32E9" w:rsidRPr="002C32E9" w:rsidRDefault="002C32E9" w:rsidP="002C32E9">
      <w:pPr>
        <w:spacing w:after="0"/>
        <w:rPr>
          <w:rFonts w:eastAsia="Calibri" w:cs="Arial"/>
          <w:color w:val="auto"/>
        </w:rPr>
      </w:pPr>
    </w:p>
    <w:p w:rsidR="002C32E9" w:rsidRPr="002C32E9" w:rsidRDefault="002C32E9" w:rsidP="002C32E9">
      <w:pPr>
        <w:spacing w:after="0"/>
        <w:ind w:left="720"/>
        <w:rPr>
          <w:rFonts w:eastAsia="Calibri" w:cs="Arial"/>
          <w:b/>
          <w:color w:val="auto"/>
        </w:rPr>
      </w:pPr>
      <w:r w:rsidRPr="002C32E9">
        <w:rPr>
          <w:rFonts w:eastAsia="Calibri" w:cs="Arial"/>
          <w:b/>
          <w:color w:val="auto"/>
        </w:rPr>
        <w:t>OUTCOMES SO FAR</w:t>
      </w:r>
    </w:p>
    <w:p w:rsidR="002C32E9" w:rsidRPr="002C32E9" w:rsidRDefault="006E2B6F" w:rsidP="00BC7565">
      <w:pPr>
        <w:numPr>
          <w:ilvl w:val="0"/>
          <w:numId w:val="34"/>
        </w:numPr>
        <w:spacing w:after="0"/>
        <w:rPr>
          <w:rFonts w:eastAsia="Calibri" w:cs="Arial"/>
          <w:color w:val="auto"/>
        </w:rPr>
      </w:pPr>
      <w:r>
        <w:rPr>
          <w:rFonts w:eastAsia="Calibri" w:cs="Arial"/>
          <w:color w:val="auto"/>
        </w:rPr>
        <w:t xml:space="preserve">In the first year of the pilot, </w:t>
      </w:r>
      <w:r w:rsidR="002C32E9" w:rsidRPr="002C32E9">
        <w:rPr>
          <w:rFonts w:eastAsia="Calibri" w:cs="Arial"/>
          <w:color w:val="auto"/>
        </w:rPr>
        <w:t xml:space="preserve">43 tenants have </w:t>
      </w:r>
      <w:r w:rsidR="00C73A49">
        <w:rPr>
          <w:rFonts w:eastAsia="Calibri" w:cs="Arial"/>
          <w:color w:val="auto"/>
        </w:rPr>
        <w:t xml:space="preserve">been </w:t>
      </w:r>
      <w:r>
        <w:rPr>
          <w:rFonts w:eastAsia="Calibri" w:cs="Arial"/>
          <w:color w:val="auto"/>
        </w:rPr>
        <w:t>enrolled</w:t>
      </w:r>
      <w:r w:rsidR="002C32E9" w:rsidRPr="002C32E9">
        <w:rPr>
          <w:rFonts w:eastAsia="Calibri" w:cs="Arial"/>
          <w:color w:val="auto"/>
        </w:rPr>
        <w:t xml:space="preserve">. </w:t>
      </w:r>
      <w:r>
        <w:rPr>
          <w:rFonts w:eastAsia="Calibri" w:cs="Arial"/>
          <w:color w:val="auto"/>
        </w:rPr>
        <w:t>Most face barriers to sustaining a tenancy independently. These include</w:t>
      </w:r>
      <w:r w:rsidR="00BC7565" w:rsidRPr="00BC7565">
        <w:t xml:space="preserve"> </w:t>
      </w:r>
      <w:r w:rsidR="00BC7565" w:rsidRPr="00BC7565">
        <w:rPr>
          <w:rFonts w:eastAsia="Calibri" w:cs="Arial"/>
          <w:color w:val="auto"/>
        </w:rPr>
        <w:t>employment, health and well-being, relationship breakdown and loneliness and transition from an institution.</w:t>
      </w:r>
      <w:r w:rsidR="00BC7565">
        <w:rPr>
          <w:rFonts w:eastAsia="Calibri" w:cs="Arial"/>
          <w:color w:val="auto"/>
        </w:rPr>
        <w:t xml:space="preserve"> </w:t>
      </w:r>
      <w:r w:rsidR="0091553A">
        <w:rPr>
          <w:rFonts w:eastAsia="Calibri" w:cs="Arial"/>
          <w:color w:val="auto"/>
        </w:rPr>
        <w:t xml:space="preserve">The experience of the </w:t>
      </w:r>
      <w:r w:rsidR="00421C6E">
        <w:rPr>
          <w:rFonts w:eastAsia="Calibri" w:cs="Arial"/>
          <w:color w:val="auto"/>
        </w:rPr>
        <w:t>Welfare</w:t>
      </w:r>
      <w:r w:rsidR="0091553A">
        <w:rPr>
          <w:rFonts w:eastAsia="Calibri" w:cs="Arial"/>
          <w:color w:val="auto"/>
        </w:rPr>
        <w:t xml:space="preserve"> </w:t>
      </w:r>
      <w:r w:rsidR="00421C6E">
        <w:rPr>
          <w:rFonts w:eastAsia="Calibri" w:cs="Arial"/>
          <w:color w:val="auto"/>
        </w:rPr>
        <w:t>Reform</w:t>
      </w:r>
      <w:r w:rsidR="0091553A">
        <w:rPr>
          <w:rFonts w:eastAsia="Calibri" w:cs="Arial"/>
          <w:color w:val="auto"/>
        </w:rPr>
        <w:t xml:space="preserve"> team is that thes</w:t>
      </w:r>
      <w:r w:rsidR="00421C6E">
        <w:rPr>
          <w:rFonts w:eastAsia="Calibri" w:cs="Arial"/>
          <w:color w:val="auto"/>
        </w:rPr>
        <w:t xml:space="preserve">e issues take time to </w:t>
      </w:r>
      <w:r w:rsidR="00421C6E">
        <w:rPr>
          <w:rFonts w:eastAsia="Calibri" w:cs="Arial"/>
          <w:color w:val="auto"/>
        </w:rPr>
        <w:lastRenderedPageBreak/>
        <w:t xml:space="preserve">deal with, first in gaining the trust of the tenant, and then seeking their resolution. Progress isn’t linear, with most people experiencing setbacks along the way. </w:t>
      </w:r>
      <w:r w:rsidR="002C32E9" w:rsidRPr="002C32E9">
        <w:rPr>
          <w:rFonts w:eastAsia="Calibri" w:cs="Arial"/>
          <w:color w:val="auto"/>
        </w:rPr>
        <w:t>To tackle these</w:t>
      </w:r>
      <w:r w:rsidR="00421C6E">
        <w:rPr>
          <w:rFonts w:eastAsia="Calibri" w:cs="Arial"/>
          <w:color w:val="auto"/>
        </w:rPr>
        <w:t xml:space="preserve"> barriers</w:t>
      </w:r>
      <w:r w:rsidR="002C32E9" w:rsidRPr="002C32E9">
        <w:rPr>
          <w:rFonts w:eastAsia="Calibri" w:cs="Arial"/>
          <w:color w:val="auto"/>
        </w:rPr>
        <w:t>, the pilot provides tailored support based on the need of the individual in three key areas</w:t>
      </w:r>
      <w:r w:rsidR="00BC7565" w:rsidRPr="00BC7565">
        <w:t xml:space="preserve"> </w:t>
      </w:r>
      <w:r w:rsidR="00BC7565" w:rsidRPr="00BC7565">
        <w:rPr>
          <w:rFonts w:eastAsia="Calibri" w:cs="Arial"/>
          <w:color w:val="auto"/>
        </w:rPr>
        <w:t xml:space="preserve">linked to their capacity to </w:t>
      </w:r>
      <w:r w:rsidR="00BC7565">
        <w:rPr>
          <w:rFonts w:eastAsia="Calibri" w:cs="Arial"/>
          <w:color w:val="auto"/>
        </w:rPr>
        <w:t>sustain a tenancy independently</w:t>
      </w:r>
      <w:r w:rsidR="002C32E9" w:rsidRPr="002C32E9">
        <w:rPr>
          <w:rFonts w:eastAsia="Calibri" w:cs="Arial"/>
          <w:color w:val="auto"/>
        </w:rPr>
        <w:t>:</w:t>
      </w:r>
    </w:p>
    <w:p w:rsidR="002C32E9" w:rsidRPr="002C32E9" w:rsidRDefault="002C32E9" w:rsidP="002C32E9">
      <w:pPr>
        <w:numPr>
          <w:ilvl w:val="0"/>
          <w:numId w:val="37"/>
        </w:numPr>
        <w:spacing w:after="0"/>
        <w:rPr>
          <w:rFonts w:eastAsia="Calibri" w:cs="Arial"/>
          <w:color w:val="auto"/>
        </w:rPr>
      </w:pPr>
      <w:r w:rsidRPr="002C32E9">
        <w:rPr>
          <w:rFonts w:eastAsia="Calibri" w:cs="Arial"/>
          <w:color w:val="auto"/>
        </w:rPr>
        <w:t>Improving housing opportunities</w:t>
      </w:r>
    </w:p>
    <w:p w:rsidR="002C32E9" w:rsidRPr="002C32E9" w:rsidRDefault="002C32E9" w:rsidP="002C32E9">
      <w:pPr>
        <w:numPr>
          <w:ilvl w:val="0"/>
          <w:numId w:val="37"/>
        </w:numPr>
        <w:spacing w:after="0"/>
        <w:rPr>
          <w:rFonts w:eastAsia="Calibri" w:cs="Arial"/>
          <w:color w:val="auto"/>
        </w:rPr>
      </w:pPr>
      <w:r w:rsidRPr="002C32E9">
        <w:rPr>
          <w:rFonts w:eastAsia="Calibri" w:cs="Arial"/>
          <w:color w:val="auto"/>
        </w:rPr>
        <w:t>Progress towards employment</w:t>
      </w:r>
    </w:p>
    <w:p w:rsidR="002C32E9" w:rsidRPr="002C32E9" w:rsidRDefault="002C32E9" w:rsidP="002C32E9">
      <w:pPr>
        <w:numPr>
          <w:ilvl w:val="0"/>
          <w:numId w:val="37"/>
        </w:numPr>
        <w:spacing w:after="0"/>
        <w:rPr>
          <w:rFonts w:eastAsia="Calibri" w:cs="Arial"/>
          <w:color w:val="auto"/>
        </w:rPr>
      </w:pPr>
      <w:r w:rsidRPr="002C32E9">
        <w:rPr>
          <w:rFonts w:eastAsia="Calibri" w:cs="Arial"/>
          <w:color w:val="auto"/>
        </w:rPr>
        <w:t>Improving personal and financial resilience</w:t>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In the first year of the pilot, </w:t>
      </w:r>
      <w:r w:rsidR="00421C6E">
        <w:rPr>
          <w:rFonts w:eastAsia="Calibri" w:cs="Arial"/>
          <w:color w:val="auto"/>
        </w:rPr>
        <w:t xml:space="preserve">significant </w:t>
      </w:r>
      <w:r w:rsidRPr="002C32E9">
        <w:rPr>
          <w:rFonts w:eastAsia="Calibri" w:cs="Arial"/>
          <w:color w:val="auto"/>
        </w:rPr>
        <w:t>progress has been made in all three of these areas as the following figures show:</w:t>
      </w:r>
    </w:p>
    <w:p w:rsidR="002C32E9" w:rsidRPr="002C32E9" w:rsidRDefault="002C32E9" w:rsidP="002C32E9">
      <w:pPr>
        <w:spacing w:after="0"/>
        <w:rPr>
          <w:rFonts w:eastAsia="Calibri" w:cs="Arial"/>
          <w:color w:val="auto"/>
        </w:rPr>
      </w:pPr>
    </w:p>
    <w:p w:rsidR="002C32E9" w:rsidRPr="002C32E9" w:rsidRDefault="002C32E9" w:rsidP="002C32E9">
      <w:pPr>
        <w:spacing w:after="0"/>
        <w:ind w:left="720"/>
        <w:rPr>
          <w:rFonts w:eastAsia="Calibri" w:cs="Arial"/>
          <w:color w:val="auto"/>
        </w:rPr>
      </w:pPr>
      <w:r w:rsidRPr="002C32E9">
        <w:rPr>
          <w:rFonts w:eastAsia="Calibri" w:cs="Arial"/>
          <w:color w:val="auto"/>
        </w:rPr>
        <w:t>Improving housing opportunities</w:t>
      </w:r>
    </w:p>
    <w:p w:rsidR="002C32E9" w:rsidRPr="002C32E9" w:rsidRDefault="002C32E9" w:rsidP="002C32E9">
      <w:pPr>
        <w:numPr>
          <w:ilvl w:val="0"/>
          <w:numId w:val="38"/>
        </w:numPr>
        <w:spacing w:after="0"/>
        <w:rPr>
          <w:rFonts w:eastAsia="Calibri" w:cs="Arial"/>
          <w:color w:val="auto"/>
        </w:rPr>
      </w:pPr>
      <w:r w:rsidRPr="002C32E9">
        <w:rPr>
          <w:rFonts w:eastAsia="Calibri" w:cs="Arial"/>
          <w:color w:val="auto"/>
        </w:rPr>
        <w:t>43 tenancies created (24 new lets, 19 existing Home Choice tenants)</w:t>
      </w:r>
    </w:p>
    <w:p w:rsidR="002C32E9" w:rsidRPr="002C32E9" w:rsidRDefault="002C32E9" w:rsidP="002C32E9">
      <w:pPr>
        <w:numPr>
          <w:ilvl w:val="0"/>
          <w:numId w:val="38"/>
        </w:numPr>
        <w:spacing w:after="0"/>
        <w:rPr>
          <w:rFonts w:eastAsia="Calibri" w:cs="Arial"/>
          <w:color w:val="auto"/>
        </w:rPr>
      </w:pPr>
      <w:r w:rsidRPr="002C32E9">
        <w:rPr>
          <w:rFonts w:eastAsia="Calibri" w:cs="Arial"/>
          <w:color w:val="auto"/>
        </w:rPr>
        <w:t>26 landlords have provided properties to the pilot</w:t>
      </w:r>
    </w:p>
    <w:p w:rsidR="002C32E9" w:rsidRPr="002C32E9" w:rsidRDefault="002C32E9" w:rsidP="002C32E9">
      <w:pPr>
        <w:numPr>
          <w:ilvl w:val="0"/>
          <w:numId w:val="38"/>
        </w:numPr>
        <w:spacing w:after="0"/>
        <w:rPr>
          <w:rFonts w:eastAsia="Calibri" w:cs="Arial"/>
          <w:color w:val="auto"/>
        </w:rPr>
      </w:pPr>
      <w:r w:rsidRPr="002C32E9">
        <w:rPr>
          <w:rFonts w:eastAsia="Calibri" w:cs="Arial"/>
          <w:color w:val="auto"/>
        </w:rPr>
        <w:t>11 tenants are sustaining their tenancy without a top-up</w:t>
      </w:r>
    </w:p>
    <w:p w:rsidR="002C32E9" w:rsidRPr="002C32E9" w:rsidRDefault="002C32E9" w:rsidP="002C32E9">
      <w:pPr>
        <w:spacing w:after="0"/>
        <w:rPr>
          <w:rFonts w:eastAsia="Calibri" w:cs="Arial"/>
          <w:color w:val="auto"/>
        </w:rPr>
      </w:pPr>
    </w:p>
    <w:p w:rsidR="002C32E9" w:rsidRPr="002C32E9" w:rsidRDefault="002C32E9" w:rsidP="002C32E9">
      <w:pPr>
        <w:spacing w:after="0"/>
        <w:ind w:left="720"/>
        <w:rPr>
          <w:rFonts w:eastAsia="Calibri" w:cs="Arial"/>
          <w:color w:val="auto"/>
        </w:rPr>
      </w:pPr>
      <w:r w:rsidRPr="002C32E9">
        <w:rPr>
          <w:rFonts w:eastAsia="Calibri" w:cs="Arial"/>
          <w:color w:val="auto"/>
        </w:rPr>
        <w:t>Progress towards employment</w:t>
      </w:r>
    </w:p>
    <w:p w:rsidR="002C32E9" w:rsidRPr="002C32E9" w:rsidRDefault="002C32E9" w:rsidP="002C32E9">
      <w:pPr>
        <w:numPr>
          <w:ilvl w:val="0"/>
          <w:numId w:val="39"/>
        </w:numPr>
        <w:spacing w:after="0"/>
        <w:rPr>
          <w:rFonts w:eastAsia="Calibri" w:cs="Arial"/>
          <w:color w:val="auto"/>
        </w:rPr>
      </w:pPr>
      <w:r w:rsidRPr="002C32E9">
        <w:rPr>
          <w:rFonts w:eastAsia="Calibri" w:cs="Arial"/>
          <w:color w:val="auto"/>
        </w:rPr>
        <w:t>Five tenants are engaged in training to prepare for work</w:t>
      </w:r>
    </w:p>
    <w:p w:rsidR="002C32E9" w:rsidRPr="002C32E9" w:rsidRDefault="002C32E9" w:rsidP="002C32E9">
      <w:pPr>
        <w:numPr>
          <w:ilvl w:val="0"/>
          <w:numId w:val="39"/>
        </w:numPr>
        <w:spacing w:after="0"/>
        <w:rPr>
          <w:rFonts w:eastAsia="Calibri" w:cs="Arial"/>
          <w:color w:val="auto"/>
        </w:rPr>
      </w:pPr>
      <w:r w:rsidRPr="002C32E9">
        <w:rPr>
          <w:rFonts w:eastAsia="Calibri" w:cs="Arial"/>
          <w:color w:val="auto"/>
        </w:rPr>
        <w:t>Eight tenants are actively seeking work</w:t>
      </w:r>
    </w:p>
    <w:p w:rsidR="002C32E9" w:rsidRPr="002C32E9" w:rsidRDefault="002C32E9" w:rsidP="002C32E9">
      <w:pPr>
        <w:numPr>
          <w:ilvl w:val="0"/>
          <w:numId w:val="39"/>
        </w:numPr>
        <w:spacing w:after="0"/>
        <w:rPr>
          <w:rFonts w:eastAsia="Calibri" w:cs="Arial"/>
          <w:color w:val="auto"/>
        </w:rPr>
      </w:pPr>
      <w:r w:rsidRPr="002C32E9">
        <w:rPr>
          <w:rFonts w:eastAsia="Calibri" w:cs="Arial"/>
          <w:color w:val="auto"/>
        </w:rPr>
        <w:t>Five tenants have found work</w:t>
      </w:r>
    </w:p>
    <w:p w:rsidR="002C32E9" w:rsidRPr="002C32E9" w:rsidRDefault="002C32E9" w:rsidP="002C32E9">
      <w:pPr>
        <w:numPr>
          <w:ilvl w:val="0"/>
          <w:numId w:val="39"/>
        </w:numPr>
        <w:spacing w:after="0"/>
        <w:rPr>
          <w:rFonts w:eastAsia="Calibri" w:cs="Arial"/>
          <w:color w:val="auto"/>
        </w:rPr>
      </w:pPr>
      <w:r w:rsidRPr="002C32E9">
        <w:rPr>
          <w:rFonts w:eastAsia="Calibri" w:cs="Arial"/>
          <w:color w:val="auto"/>
        </w:rPr>
        <w:t>Five tenants have increased their hours of work</w:t>
      </w:r>
    </w:p>
    <w:p w:rsidR="002C32E9" w:rsidRPr="002C32E9" w:rsidRDefault="002C32E9" w:rsidP="002C32E9">
      <w:pPr>
        <w:spacing w:after="0"/>
        <w:ind w:left="720"/>
        <w:rPr>
          <w:rFonts w:eastAsia="Calibri" w:cs="Arial"/>
          <w:color w:val="auto"/>
        </w:rPr>
      </w:pPr>
    </w:p>
    <w:p w:rsidR="002C32E9" w:rsidRPr="002C32E9" w:rsidRDefault="002C32E9" w:rsidP="002C32E9">
      <w:pPr>
        <w:spacing w:after="0"/>
        <w:ind w:left="720"/>
        <w:rPr>
          <w:rFonts w:eastAsia="Calibri" w:cs="Arial"/>
          <w:color w:val="auto"/>
        </w:rPr>
      </w:pPr>
      <w:r w:rsidRPr="002C32E9">
        <w:rPr>
          <w:rFonts w:eastAsia="Calibri" w:cs="Arial"/>
          <w:color w:val="auto"/>
        </w:rPr>
        <w:t>Improving personal and financial resilience</w:t>
      </w:r>
    </w:p>
    <w:p w:rsidR="002C32E9" w:rsidRPr="002C32E9" w:rsidRDefault="002C32E9" w:rsidP="002C32E9">
      <w:pPr>
        <w:numPr>
          <w:ilvl w:val="0"/>
          <w:numId w:val="40"/>
        </w:numPr>
        <w:spacing w:after="0"/>
        <w:rPr>
          <w:rFonts w:eastAsia="Calibri" w:cs="Arial"/>
          <w:color w:val="auto"/>
        </w:rPr>
      </w:pPr>
      <w:r w:rsidRPr="002C32E9">
        <w:rPr>
          <w:rFonts w:eastAsia="Calibri" w:cs="Arial"/>
          <w:color w:val="auto"/>
        </w:rPr>
        <w:t>Five tenants have been helped to access other benefits</w:t>
      </w:r>
    </w:p>
    <w:p w:rsidR="002C32E9" w:rsidRPr="002C32E9" w:rsidRDefault="002C32E9" w:rsidP="002C32E9">
      <w:pPr>
        <w:numPr>
          <w:ilvl w:val="0"/>
          <w:numId w:val="40"/>
        </w:numPr>
        <w:spacing w:after="0"/>
        <w:rPr>
          <w:rFonts w:eastAsia="Calibri" w:cs="Arial"/>
          <w:color w:val="auto"/>
        </w:rPr>
      </w:pPr>
      <w:r w:rsidRPr="002C32E9">
        <w:rPr>
          <w:rFonts w:eastAsia="Calibri" w:cs="Arial"/>
          <w:color w:val="auto"/>
        </w:rPr>
        <w:t>Three tenants have successfully managed money management plans</w:t>
      </w:r>
    </w:p>
    <w:p w:rsidR="002C32E9" w:rsidRPr="002C32E9" w:rsidRDefault="002C32E9" w:rsidP="002C32E9">
      <w:pPr>
        <w:numPr>
          <w:ilvl w:val="0"/>
          <w:numId w:val="40"/>
        </w:numPr>
        <w:spacing w:after="0"/>
        <w:contextualSpacing/>
        <w:rPr>
          <w:rFonts w:eastAsia="Calibri" w:cs="Arial"/>
          <w:color w:val="auto"/>
        </w:rPr>
      </w:pPr>
      <w:r w:rsidRPr="002C32E9">
        <w:rPr>
          <w:rFonts w:eastAsia="Calibri" w:cs="Arial"/>
          <w:color w:val="auto"/>
        </w:rPr>
        <w:t>Two tenants are saving for a deposit in order to move on from the pilot</w:t>
      </w:r>
    </w:p>
    <w:p w:rsidR="002C32E9" w:rsidRPr="002C32E9" w:rsidRDefault="002C32E9" w:rsidP="002C32E9">
      <w:pPr>
        <w:numPr>
          <w:ilvl w:val="0"/>
          <w:numId w:val="40"/>
        </w:numPr>
        <w:spacing w:after="0"/>
        <w:rPr>
          <w:rFonts w:eastAsia="Calibri" w:cs="Arial"/>
          <w:color w:val="auto"/>
        </w:rPr>
      </w:pPr>
      <w:r w:rsidRPr="002C32E9">
        <w:rPr>
          <w:rFonts w:eastAsia="Calibri" w:cs="Arial"/>
          <w:color w:val="auto"/>
        </w:rPr>
        <w:t xml:space="preserve">All tenants have passed their quarterly home </w:t>
      </w:r>
      <w:r w:rsidRPr="002C32E9">
        <w:rPr>
          <w:rFonts w:eastAsia="Calibri" w:cs="Arial"/>
          <w:color w:val="auto"/>
          <w:lang w:eastAsia="en-US"/>
        </w:rPr>
        <w:t>inspections, which shows they are managing their tenancy effectively</w:t>
      </w:r>
    </w:p>
    <w:p w:rsidR="002C32E9" w:rsidRPr="002C32E9" w:rsidRDefault="002C32E9" w:rsidP="002C32E9">
      <w:pPr>
        <w:spacing w:after="0"/>
        <w:rPr>
          <w:rFonts w:eastAsia="Calibri" w:cs="Arial"/>
          <w:color w:val="auto"/>
          <w:lang w:eastAsia="en-US"/>
        </w:rPr>
      </w:pPr>
    </w:p>
    <w:p w:rsidR="002C32E9" w:rsidRPr="002C32E9" w:rsidRDefault="002C32E9" w:rsidP="002C32E9">
      <w:pPr>
        <w:numPr>
          <w:ilvl w:val="0"/>
          <w:numId w:val="34"/>
        </w:numPr>
        <w:spacing w:after="0"/>
        <w:rPr>
          <w:rFonts w:eastAsia="Calibri" w:cs="Arial"/>
          <w:color w:val="auto"/>
          <w:lang w:eastAsia="en-US"/>
        </w:rPr>
      </w:pPr>
      <w:r w:rsidRPr="002C32E9">
        <w:rPr>
          <w:rFonts w:eastAsia="Calibri" w:cs="Arial"/>
          <w:color w:val="auto"/>
          <w:lang w:eastAsia="en-US"/>
        </w:rPr>
        <w:t>Table 2 below show the breakdown of the conditions that have been applied to the top up payments received by tenants in the pilot. Tenants usually have more than one condition applied, so the total number is in excess of the 43 tenants in the pilot.</w:t>
      </w:r>
    </w:p>
    <w:p w:rsidR="002C32E9" w:rsidRDefault="002C32E9" w:rsidP="002C32E9">
      <w:pPr>
        <w:spacing w:after="0"/>
        <w:rPr>
          <w:rFonts w:eastAsia="Calibri" w:cs="Arial"/>
          <w:color w:val="auto"/>
          <w:lang w:eastAsia="en-US"/>
        </w:rPr>
      </w:pPr>
    </w:p>
    <w:p w:rsidR="00B511FC" w:rsidRDefault="00B511FC" w:rsidP="002C32E9">
      <w:pPr>
        <w:spacing w:after="0"/>
        <w:rPr>
          <w:rFonts w:eastAsia="Calibri" w:cs="Arial"/>
          <w:color w:val="auto"/>
          <w:lang w:eastAsia="en-US"/>
        </w:rPr>
      </w:pPr>
    </w:p>
    <w:p w:rsidR="00B511FC" w:rsidRDefault="00B511FC" w:rsidP="002C32E9">
      <w:pPr>
        <w:spacing w:after="0"/>
        <w:rPr>
          <w:rFonts w:eastAsia="Calibri" w:cs="Arial"/>
          <w:color w:val="auto"/>
          <w:lang w:eastAsia="en-US"/>
        </w:rPr>
      </w:pPr>
    </w:p>
    <w:p w:rsidR="00B511FC" w:rsidRDefault="00B511FC" w:rsidP="002C32E9">
      <w:pPr>
        <w:spacing w:after="0"/>
        <w:rPr>
          <w:rFonts w:eastAsia="Calibri" w:cs="Arial"/>
          <w:color w:val="auto"/>
          <w:lang w:eastAsia="en-US"/>
        </w:rPr>
      </w:pPr>
    </w:p>
    <w:p w:rsidR="002C32E9" w:rsidRPr="002C32E9" w:rsidRDefault="002C32E9" w:rsidP="002C32E9">
      <w:pPr>
        <w:spacing w:after="0"/>
        <w:ind w:left="720"/>
        <w:rPr>
          <w:rFonts w:eastAsia="Calibri" w:cs="Arial"/>
          <w:b/>
          <w:color w:val="auto"/>
          <w:lang w:eastAsia="en-US"/>
        </w:rPr>
      </w:pPr>
      <w:proofErr w:type="gramStart"/>
      <w:r w:rsidRPr="002C32E9">
        <w:rPr>
          <w:rFonts w:eastAsia="Calibri" w:cs="Arial"/>
          <w:b/>
          <w:color w:val="auto"/>
          <w:lang w:eastAsia="en-US"/>
        </w:rPr>
        <w:t>Table 2.</w:t>
      </w:r>
      <w:proofErr w:type="gramEnd"/>
    </w:p>
    <w:tbl>
      <w:tblPr>
        <w:tblW w:w="6924" w:type="dxa"/>
        <w:tblInd w:w="465" w:type="dxa"/>
        <w:tblLook w:val="04A0" w:firstRow="1" w:lastRow="0" w:firstColumn="1" w:lastColumn="0" w:noHBand="0" w:noVBand="1"/>
      </w:tblPr>
      <w:tblGrid>
        <w:gridCol w:w="3848"/>
        <w:gridCol w:w="1224"/>
        <w:gridCol w:w="1852"/>
      </w:tblGrid>
      <w:tr w:rsidR="002C32E9" w:rsidRPr="002C32E9" w:rsidTr="002C32E9">
        <w:trPr>
          <w:trHeight w:val="315"/>
        </w:trPr>
        <w:tc>
          <w:tcPr>
            <w:tcW w:w="3848" w:type="dxa"/>
            <w:tcBorders>
              <w:top w:val="single" w:sz="4" w:space="0" w:color="E26B0A"/>
              <w:left w:val="single" w:sz="4" w:space="0" w:color="E26B0A"/>
              <w:bottom w:val="single" w:sz="4" w:space="0" w:color="1F497D"/>
              <w:right w:val="nil"/>
            </w:tcBorders>
            <w:shd w:val="clear" w:color="000000" w:fill="E26B0A"/>
            <w:noWrap/>
            <w:vAlign w:val="bottom"/>
            <w:hideMark/>
          </w:tcPr>
          <w:p w:rsidR="002C32E9" w:rsidRPr="002C32E9" w:rsidRDefault="002C32E9" w:rsidP="002C32E9">
            <w:pPr>
              <w:spacing w:after="0"/>
              <w:ind w:left="360"/>
              <w:rPr>
                <w:rFonts w:ascii="Calibri" w:hAnsi="Calibri"/>
                <w:b/>
                <w:bCs/>
                <w:color w:val="FFFFFF"/>
              </w:rPr>
            </w:pPr>
            <w:r w:rsidRPr="002C32E9">
              <w:rPr>
                <w:rFonts w:ascii="Calibri" w:hAnsi="Calibri"/>
                <w:b/>
                <w:bCs/>
                <w:color w:val="FFFFFF"/>
              </w:rPr>
              <w:t>LHA Rent shortfall Top up conditions</w:t>
            </w:r>
          </w:p>
        </w:tc>
        <w:tc>
          <w:tcPr>
            <w:tcW w:w="1224" w:type="dxa"/>
            <w:tcBorders>
              <w:top w:val="single" w:sz="4" w:space="0" w:color="E26B0A"/>
              <w:left w:val="nil"/>
              <w:bottom w:val="single" w:sz="4" w:space="0" w:color="1F497D"/>
              <w:right w:val="nil"/>
            </w:tcBorders>
            <w:shd w:val="clear" w:color="000000" w:fill="E26B0A"/>
            <w:noWrap/>
            <w:vAlign w:val="bottom"/>
            <w:hideMark/>
          </w:tcPr>
          <w:p w:rsidR="002C32E9" w:rsidRPr="002C32E9" w:rsidRDefault="002C32E9" w:rsidP="002C32E9">
            <w:pPr>
              <w:spacing w:after="0"/>
              <w:ind w:left="720"/>
              <w:contextualSpacing/>
              <w:rPr>
                <w:rFonts w:ascii="Calibri" w:hAnsi="Calibri"/>
                <w:b/>
                <w:bCs/>
                <w:color w:val="FFFFFF"/>
              </w:rPr>
            </w:pPr>
          </w:p>
        </w:tc>
        <w:tc>
          <w:tcPr>
            <w:tcW w:w="1852" w:type="dxa"/>
            <w:tcBorders>
              <w:top w:val="single" w:sz="4" w:space="0" w:color="E26B0A"/>
              <w:left w:val="nil"/>
              <w:bottom w:val="single" w:sz="4" w:space="0" w:color="1F497D"/>
              <w:right w:val="single" w:sz="4" w:space="0" w:color="E26B0A"/>
            </w:tcBorders>
            <w:shd w:val="clear" w:color="000000" w:fill="E26B0A"/>
            <w:noWrap/>
            <w:vAlign w:val="bottom"/>
            <w:hideMark/>
          </w:tcPr>
          <w:p w:rsidR="002C32E9" w:rsidRPr="002C32E9" w:rsidRDefault="002C32E9" w:rsidP="002C32E9">
            <w:pPr>
              <w:spacing w:after="0"/>
              <w:ind w:left="720"/>
              <w:contextualSpacing/>
              <w:rPr>
                <w:rFonts w:ascii="Calibri" w:hAnsi="Calibri"/>
                <w:b/>
                <w:bCs/>
                <w:color w:val="FFFFFF"/>
              </w:rPr>
            </w:pP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1F497D"/>
            <w:noWrap/>
            <w:vAlign w:val="bottom"/>
            <w:hideMark/>
          </w:tcPr>
          <w:p w:rsidR="002C32E9" w:rsidRPr="002C32E9" w:rsidRDefault="002C32E9" w:rsidP="002C32E9">
            <w:pPr>
              <w:spacing w:after="0"/>
              <w:rPr>
                <w:rFonts w:ascii="Calibri" w:hAnsi="Calibri"/>
                <w:b/>
                <w:bCs/>
                <w:color w:val="FFFFFF"/>
              </w:rPr>
            </w:pPr>
          </w:p>
        </w:tc>
        <w:tc>
          <w:tcPr>
            <w:tcW w:w="1224" w:type="dxa"/>
            <w:tcBorders>
              <w:top w:val="nil"/>
              <w:left w:val="nil"/>
              <w:bottom w:val="single" w:sz="4" w:space="0" w:color="1F497D"/>
              <w:right w:val="single" w:sz="4" w:space="0" w:color="1F497D"/>
            </w:tcBorders>
            <w:shd w:val="clear" w:color="000000" w:fill="1F497D"/>
            <w:noWrap/>
            <w:vAlign w:val="bottom"/>
            <w:hideMark/>
          </w:tcPr>
          <w:p w:rsidR="002C32E9" w:rsidRPr="002C32E9" w:rsidRDefault="002C32E9" w:rsidP="002C32E9">
            <w:pPr>
              <w:spacing w:after="0"/>
              <w:ind w:left="720"/>
              <w:contextualSpacing/>
              <w:rPr>
                <w:rFonts w:ascii="Calibri" w:hAnsi="Calibri"/>
                <w:b/>
                <w:bCs/>
                <w:color w:val="FFFFFF"/>
              </w:rPr>
            </w:pPr>
            <w:r w:rsidRPr="002C32E9">
              <w:rPr>
                <w:rFonts w:ascii="Calibri" w:hAnsi="Calibri"/>
                <w:b/>
                <w:bCs/>
                <w:color w:val="FFFFFF"/>
              </w:rPr>
              <w:t>No</w:t>
            </w:r>
          </w:p>
        </w:tc>
        <w:tc>
          <w:tcPr>
            <w:tcW w:w="1852" w:type="dxa"/>
            <w:tcBorders>
              <w:top w:val="nil"/>
              <w:left w:val="nil"/>
              <w:bottom w:val="single" w:sz="4" w:space="0" w:color="1F497D"/>
              <w:right w:val="single" w:sz="4" w:space="0" w:color="1F497D"/>
            </w:tcBorders>
            <w:shd w:val="clear" w:color="000000" w:fill="1F497D"/>
            <w:noWrap/>
            <w:vAlign w:val="bottom"/>
            <w:hideMark/>
          </w:tcPr>
          <w:p w:rsidR="002C32E9" w:rsidRPr="002C32E9" w:rsidRDefault="002C32E9" w:rsidP="002C32E9">
            <w:pPr>
              <w:spacing w:after="0"/>
              <w:ind w:left="720"/>
              <w:contextualSpacing/>
              <w:rPr>
                <w:rFonts w:ascii="Calibri" w:hAnsi="Calibri"/>
                <w:b/>
                <w:bCs/>
                <w:color w:val="FFFFFF"/>
              </w:rPr>
            </w:pPr>
            <w:r w:rsidRPr="002C32E9">
              <w:rPr>
                <w:rFonts w:ascii="Calibri" w:hAnsi="Calibri"/>
                <w:b/>
                <w:bCs/>
                <w:color w:val="FFFFFF"/>
              </w:rPr>
              <w:t>%</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Find work</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6</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10%</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Increase working hours</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11</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17%</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Apply for another benefit</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7</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11%</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Debt advice</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20</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32%</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Prepare for work</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2</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3%</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Engage with support service</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1</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2%</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lastRenderedPageBreak/>
              <w:t>Find cheaper accommodation</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0</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0%</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Reduce expenditure</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2</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3%</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Sustain employment</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2</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3%</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Other</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0</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0%</w:t>
            </w:r>
          </w:p>
        </w:tc>
      </w:tr>
      <w:tr w:rsidR="002C32E9" w:rsidRPr="002C32E9" w:rsidTr="002C32E9">
        <w:trPr>
          <w:trHeight w:val="315"/>
        </w:trPr>
        <w:tc>
          <w:tcPr>
            <w:tcW w:w="3848" w:type="dxa"/>
            <w:tcBorders>
              <w:top w:val="nil"/>
              <w:left w:val="single" w:sz="4" w:space="0" w:color="1F497D"/>
              <w:bottom w:val="single" w:sz="4" w:space="0" w:color="1F497D"/>
              <w:right w:val="single" w:sz="4" w:space="0" w:color="1F497D"/>
            </w:tcBorders>
            <w:shd w:val="clear" w:color="000000" w:fill="DAEEF3"/>
            <w:noWrap/>
            <w:vAlign w:val="bottom"/>
            <w:hideMark/>
          </w:tcPr>
          <w:p w:rsidR="002C32E9" w:rsidRPr="002C32E9" w:rsidRDefault="002C32E9" w:rsidP="002C32E9">
            <w:pPr>
              <w:spacing w:after="0"/>
              <w:rPr>
                <w:rFonts w:ascii="Calibri" w:hAnsi="Calibri"/>
              </w:rPr>
            </w:pPr>
            <w:r w:rsidRPr="002C32E9">
              <w:rPr>
                <w:rFonts w:ascii="Calibri" w:hAnsi="Calibri"/>
              </w:rPr>
              <w:t>Tenant paying shortfall themselves</w:t>
            </w:r>
          </w:p>
        </w:tc>
        <w:tc>
          <w:tcPr>
            <w:tcW w:w="1224"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12</w:t>
            </w:r>
          </w:p>
        </w:tc>
        <w:tc>
          <w:tcPr>
            <w:tcW w:w="1852" w:type="dxa"/>
            <w:tcBorders>
              <w:top w:val="nil"/>
              <w:left w:val="nil"/>
              <w:bottom w:val="single" w:sz="4" w:space="0" w:color="1F497D"/>
              <w:right w:val="single" w:sz="4" w:space="0" w:color="1F497D"/>
            </w:tcBorders>
            <w:shd w:val="clear" w:color="auto" w:fill="auto"/>
            <w:noWrap/>
            <w:vAlign w:val="bottom"/>
            <w:hideMark/>
          </w:tcPr>
          <w:p w:rsidR="002C32E9" w:rsidRPr="002C32E9" w:rsidRDefault="002C32E9" w:rsidP="002C32E9">
            <w:pPr>
              <w:spacing w:after="0"/>
              <w:ind w:left="720"/>
              <w:contextualSpacing/>
              <w:rPr>
                <w:rFonts w:ascii="Calibri" w:hAnsi="Calibri"/>
              </w:rPr>
            </w:pPr>
            <w:r w:rsidRPr="002C32E9">
              <w:rPr>
                <w:rFonts w:ascii="Calibri" w:hAnsi="Calibri"/>
              </w:rPr>
              <w:t>19%</w:t>
            </w:r>
          </w:p>
        </w:tc>
      </w:tr>
    </w:tbl>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Appendix </w:t>
      </w:r>
      <w:proofErr w:type="gramStart"/>
      <w:r w:rsidRPr="002C32E9">
        <w:rPr>
          <w:rFonts w:eastAsia="Calibri" w:cs="Arial"/>
          <w:color w:val="auto"/>
        </w:rPr>
        <w:t>One</w:t>
      </w:r>
      <w:proofErr w:type="gramEnd"/>
      <w:r w:rsidRPr="002C32E9">
        <w:rPr>
          <w:rFonts w:eastAsia="Calibri" w:cs="Arial"/>
          <w:color w:val="auto"/>
        </w:rPr>
        <w:t xml:space="preserve"> contains case studies which show how two customers</w:t>
      </w:r>
      <w:r w:rsidR="00C73A49">
        <w:rPr>
          <w:rFonts w:eastAsia="Calibri" w:cs="Arial"/>
          <w:color w:val="auto"/>
        </w:rPr>
        <w:t xml:space="preserve"> have been supported and made progresses</w:t>
      </w:r>
      <w:r w:rsidRPr="002C32E9">
        <w:rPr>
          <w:rFonts w:eastAsia="Calibri" w:cs="Arial"/>
          <w:color w:val="auto"/>
        </w:rPr>
        <w:t xml:space="preserve"> in the pilot</w:t>
      </w:r>
      <w:r w:rsidR="00C73A49">
        <w:rPr>
          <w:rFonts w:eastAsia="Calibri" w:cs="Arial"/>
          <w:color w:val="auto"/>
        </w:rPr>
        <w:t>.</w:t>
      </w:r>
      <w:r w:rsidR="00421C6E">
        <w:rPr>
          <w:rFonts w:eastAsia="Calibri" w:cs="Arial"/>
          <w:color w:val="auto"/>
        </w:rPr>
        <w:t xml:space="preserve"> One of these tenants has progressed to the point where they have secured the tenancy of a new property independently. This is the ultimate aim of the pilot, although it was not expected to achieve such an outcome so soon. The Real Lettings project which undertakes similar work, although provided by St Mungo’s, works on the basis of tenants taking three years to achieve such an outcome.</w:t>
      </w:r>
    </w:p>
    <w:p w:rsidR="002C32E9" w:rsidRPr="002C32E9" w:rsidRDefault="002C32E9" w:rsidP="002C32E9">
      <w:pPr>
        <w:spacing w:after="0"/>
        <w:ind w:left="72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Although there have been some</w:t>
      </w:r>
      <w:r w:rsidR="00421C6E">
        <w:rPr>
          <w:rFonts w:eastAsia="Calibri" w:cs="Arial"/>
          <w:color w:val="auto"/>
        </w:rPr>
        <w:t xml:space="preserve"> considerable</w:t>
      </w:r>
      <w:r w:rsidRPr="002C32E9">
        <w:rPr>
          <w:rFonts w:eastAsia="Calibri" w:cs="Arial"/>
          <w:color w:val="auto"/>
        </w:rPr>
        <w:t xml:space="preserve"> successes for </w:t>
      </w:r>
      <w:r w:rsidR="00421C6E">
        <w:rPr>
          <w:rFonts w:eastAsia="Calibri" w:cs="Arial"/>
          <w:color w:val="auto"/>
        </w:rPr>
        <w:t xml:space="preserve">individual </w:t>
      </w:r>
      <w:r w:rsidRPr="002C32E9">
        <w:rPr>
          <w:rFonts w:eastAsia="Calibri" w:cs="Arial"/>
          <w:color w:val="auto"/>
        </w:rPr>
        <w:t>tenants in the pilot, the number of outcomes has been lower than for equivalent work undertaken in the Welfare Reform team. There are a number of reasons for this which are listed below and explored further in subsequent paragraphs.as follows:</w:t>
      </w:r>
    </w:p>
    <w:p w:rsidR="002C32E9" w:rsidRPr="002C32E9" w:rsidRDefault="002C32E9" w:rsidP="002C32E9">
      <w:pPr>
        <w:numPr>
          <w:ilvl w:val="0"/>
          <w:numId w:val="41"/>
        </w:numPr>
        <w:spacing w:after="0"/>
        <w:rPr>
          <w:rFonts w:eastAsia="Calibri" w:cs="Arial"/>
          <w:color w:val="auto"/>
        </w:rPr>
      </w:pPr>
      <w:r w:rsidRPr="002C32E9">
        <w:rPr>
          <w:rFonts w:eastAsia="Calibri" w:cs="Arial"/>
          <w:color w:val="auto"/>
        </w:rPr>
        <w:t>Time spent on procuring and managing property</w:t>
      </w:r>
    </w:p>
    <w:p w:rsidR="002C32E9" w:rsidRPr="002C32E9" w:rsidRDefault="002C32E9" w:rsidP="002C32E9">
      <w:pPr>
        <w:numPr>
          <w:ilvl w:val="0"/>
          <w:numId w:val="41"/>
        </w:numPr>
        <w:spacing w:after="0"/>
        <w:rPr>
          <w:rFonts w:eastAsia="Calibri" w:cs="Arial"/>
          <w:color w:val="auto"/>
        </w:rPr>
      </w:pPr>
      <w:r w:rsidRPr="002C32E9">
        <w:rPr>
          <w:rFonts w:eastAsia="Calibri" w:cs="Arial"/>
          <w:color w:val="auto"/>
        </w:rPr>
        <w:t>Challenges in collection of rent</w:t>
      </w:r>
    </w:p>
    <w:p w:rsidR="002C32E9" w:rsidRPr="002C32E9" w:rsidRDefault="002C32E9" w:rsidP="002C32E9">
      <w:pPr>
        <w:numPr>
          <w:ilvl w:val="0"/>
          <w:numId w:val="41"/>
        </w:numPr>
        <w:spacing w:after="0"/>
        <w:rPr>
          <w:rFonts w:eastAsia="Calibri" w:cs="Arial"/>
          <w:color w:val="auto"/>
        </w:rPr>
      </w:pPr>
      <w:r w:rsidRPr="002C32E9">
        <w:rPr>
          <w:rFonts w:eastAsia="Calibri" w:cs="Arial"/>
          <w:color w:val="auto"/>
        </w:rPr>
        <w:t>Time spent making manual payments</w:t>
      </w:r>
    </w:p>
    <w:p w:rsidR="002C32E9" w:rsidRPr="002C32E9" w:rsidRDefault="002C32E9" w:rsidP="002C32E9">
      <w:pPr>
        <w:numPr>
          <w:ilvl w:val="0"/>
          <w:numId w:val="41"/>
        </w:numPr>
        <w:spacing w:after="0"/>
        <w:rPr>
          <w:rFonts w:eastAsia="Calibri" w:cs="Arial"/>
          <w:color w:val="auto"/>
        </w:rPr>
      </w:pPr>
      <w:r w:rsidRPr="002C32E9">
        <w:rPr>
          <w:rFonts w:eastAsia="Calibri" w:cs="Arial"/>
          <w:color w:val="auto"/>
        </w:rPr>
        <w:t>Customer attitude to private rented sector</w:t>
      </w:r>
    </w:p>
    <w:p w:rsidR="002C32E9" w:rsidRPr="002C32E9" w:rsidRDefault="002C32E9" w:rsidP="002C32E9">
      <w:pPr>
        <w:spacing w:after="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The pilot employs a single person to procure and manage the properties, and support customers. It is estimated that property procurement and management takes up a third of their time. Some support for this work has been provided by colleagues in the Private Sector Housing team, and in the next year it is planned that they will take on much more of this work. This will allow more time for customer support, which should lead to improved outcomes.</w:t>
      </w:r>
    </w:p>
    <w:p w:rsidR="002C32E9" w:rsidRPr="002C32E9" w:rsidRDefault="002C32E9" w:rsidP="002C32E9">
      <w:pPr>
        <w:spacing w:after="0"/>
        <w:ind w:left="72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Rent collection for tenants in the pilot has been undertaken by the Incomes team. The absence of key </w:t>
      </w:r>
      <w:proofErr w:type="gramStart"/>
      <w:r w:rsidRPr="002C32E9">
        <w:rPr>
          <w:rFonts w:eastAsia="Calibri" w:cs="Arial"/>
          <w:color w:val="auto"/>
        </w:rPr>
        <w:t>personnel,</w:t>
      </w:r>
      <w:proofErr w:type="gramEnd"/>
      <w:r w:rsidRPr="002C32E9">
        <w:rPr>
          <w:rFonts w:eastAsia="Calibri" w:cs="Arial"/>
          <w:color w:val="auto"/>
        </w:rPr>
        <w:t xml:space="preserve"> and</w:t>
      </w:r>
      <w:r w:rsidR="005D6BB4">
        <w:rPr>
          <w:rFonts w:eastAsia="Calibri" w:cs="Arial"/>
          <w:color w:val="auto"/>
        </w:rPr>
        <w:t xml:space="preserve"> difficulty in recruiting key staff has </w:t>
      </w:r>
      <w:r w:rsidRPr="002C32E9">
        <w:rPr>
          <w:rFonts w:eastAsia="Calibri" w:cs="Arial"/>
          <w:color w:val="auto"/>
        </w:rPr>
        <w:t xml:space="preserve">hampered this work. One of the principles of the pilot is for the Council to incentivise tenants to engage with the support offered by making a top-up payment </w:t>
      </w:r>
      <w:r w:rsidR="00C73A49">
        <w:rPr>
          <w:rFonts w:eastAsia="Calibri" w:cs="Arial"/>
          <w:color w:val="auto"/>
        </w:rPr>
        <w:t xml:space="preserve">which is </w:t>
      </w:r>
      <w:r w:rsidRPr="002C32E9">
        <w:rPr>
          <w:rFonts w:eastAsia="Calibri" w:cs="Arial"/>
          <w:color w:val="auto"/>
        </w:rPr>
        <w:t>conditional on engagement. If rent ar</w:t>
      </w:r>
      <w:r w:rsidR="002C5743">
        <w:rPr>
          <w:rFonts w:eastAsia="Calibri" w:cs="Arial"/>
          <w:color w:val="auto"/>
        </w:rPr>
        <w:t>r</w:t>
      </w:r>
      <w:r w:rsidRPr="002C32E9">
        <w:rPr>
          <w:rFonts w:eastAsia="Calibri" w:cs="Arial"/>
          <w:color w:val="auto"/>
        </w:rPr>
        <w:t xml:space="preserve">ears are not dealt with promptly, there is little incentive for the tenant to engage. A fixed term role </w:t>
      </w:r>
      <w:r w:rsidR="00C73A49">
        <w:rPr>
          <w:rFonts w:eastAsia="Calibri" w:cs="Arial"/>
          <w:color w:val="auto"/>
        </w:rPr>
        <w:t>has been</w:t>
      </w:r>
      <w:r w:rsidRPr="002C32E9">
        <w:rPr>
          <w:rFonts w:eastAsia="Calibri" w:cs="Arial"/>
          <w:color w:val="auto"/>
        </w:rPr>
        <w:t xml:space="preserve"> recruited to manage the rent collection in the pilot, so this issue will shortly be resolved. To ensure the pilot’s approach is viable, it will be necessary to ensure that any eviction of a pilot </w:t>
      </w:r>
      <w:proofErr w:type="gramStart"/>
      <w:r w:rsidRPr="002C32E9">
        <w:rPr>
          <w:rFonts w:eastAsia="Calibri" w:cs="Arial"/>
          <w:color w:val="auto"/>
        </w:rPr>
        <w:t>tenant,</w:t>
      </w:r>
      <w:proofErr w:type="gramEnd"/>
      <w:r w:rsidRPr="002C32E9">
        <w:rPr>
          <w:rFonts w:eastAsia="Calibri" w:cs="Arial"/>
          <w:color w:val="auto"/>
        </w:rPr>
        <w:t xml:space="preserve"> can result in an intentionally homeless decision being made. </w:t>
      </w:r>
      <w:r w:rsidR="00421C6E">
        <w:rPr>
          <w:rFonts w:eastAsia="Calibri" w:cs="Arial"/>
          <w:color w:val="auto"/>
        </w:rPr>
        <w:t>No</w:t>
      </w:r>
      <w:r w:rsidRPr="002C32E9">
        <w:rPr>
          <w:rFonts w:eastAsia="Calibri" w:cs="Arial"/>
          <w:color w:val="auto"/>
        </w:rPr>
        <w:t>tices</w:t>
      </w:r>
      <w:r w:rsidR="00421C6E">
        <w:rPr>
          <w:rFonts w:eastAsia="Calibri" w:cs="Arial"/>
          <w:color w:val="auto"/>
        </w:rPr>
        <w:t xml:space="preserve"> seeking possession will be served to tenants who accrue arrears </w:t>
      </w:r>
      <w:r w:rsidR="00C73A49">
        <w:rPr>
          <w:rFonts w:eastAsia="Calibri" w:cs="Arial"/>
          <w:color w:val="auto"/>
        </w:rPr>
        <w:t xml:space="preserve">which </w:t>
      </w:r>
      <w:r w:rsidR="00421C6E">
        <w:rPr>
          <w:rFonts w:eastAsia="Calibri" w:cs="Arial"/>
          <w:color w:val="auto"/>
        </w:rPr>
        <w:t xml:space="preserve">may </w:t>
      </w:r>
      <w:r w:rsidR="00C73A49">
        <w:rPr>
          <w:rFonts w:eastAsia="Calibri" w:cs="Arial"/>
          <w:color w:val="auto"/>
        </w:rPr>
        <w:t>enable this to be te</w:t>
      </w:r>
      <w:r w:rsidRPr="002C32E9">
        <w:rPr>
          <w:rFonts w:eastAsia="Calibri" w:cs="Arial"/>
          <w:color w:val="auto"/>
        </w:rPr>
        <w:t>sted.</w:t>
      </w:r>
    </w:p>
    <w:p w:rsidR="002C32E9" w:rsidRPr="002C32E9" w:rsidRDefault="002C32E9" w:rsidP="002C32E9">
      <w:pPr>
        <w:spacing w:after="0"/>
        <w:ind w:left="720"/>
        <w:contextualSpacing/>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The pilot requires a lot of manual payments to be made. All the monthly top-up payments to tenants and quarterly payments of rent to the landlords have to be made manually. With 43 tenants in the pilot, this is a lot of work for the Housing Coach, and for the Payments team. In order for the pilot to be scalable, an automated solution needs to be found to this issue</w:t>
      </w:r>
      <w:r w:rsidR="005D6BB4">
        <w:rPr>
          <w:rFonts w:eastAsia="Calibri" w:cs="Arial"/>
          <w:color w:val="auto"/>
        </w:rPr>
        <w:t>, and will be pursued with existing suppliers.</w:t>
      </w:r>
    </w:p>
    <w:p w:rsidR="002C32E9" w:rsidRPr="002C32E9" w:rsidRDefault="002C32E9" w:rsidP="002C32E9">
      <w:pPr>
        <w:spacing w:after="0"/>
        <w:ind w:left="720"/>
        <w:contextualSpacing/>
        <w:rPr>
          <w:rFonts w:eastAsia="Calibri" w:cs="Arial"/>
          <w:color w:val="auto"/>
        </w:rPr>
      </w:pPr>
    </w:p>
    <w:p w:rsidR="002C32E9" w:rsidRPr="002C32E9" w:rsidRDefault="002C32E9" w:rsidP="002C32E9">
      <w:pPr>
        <w:numPr>
          <w:ilvl w:val="0"/>
          <w:numId w:val="34"/>
        </w:numPr>
        <w:spacing w:after="0"/>
        <w:rPr>
          <w:rFonts w:eastAsia="Calibri" w:cs="Arial"/>
          <w:color w:val="auto"/>
        </w:rPr>
      </w:pPr>
      <w:proofErr w:type="gramStart"/>
      <w:r w:rsidRPr="002C32E9">
        <w:rPr>
          <w:rFonts w:eastAsia="Calibri" w:cs="Arial"/>
          <w:color w:val="auto"/>
        </w:rPr>
        <w:lastRenderedPageBreak/>
        <w:t>Customers</w:t>
      </w:r>
      <w:proofErr w:type="gramEnd"/>
      <w:r w:rsidRPr="002C32E9">
        <w:rPr>
          <w:rFonts w:eastAsia="Calibri" w:cs="Arial"/>
          <w:color w:val="auto"/>
        </w:rPr>
        <w:t xml:space="preserve"> attitude to placement in the private rented sector (PRS) also acts as a barrier to the work of the Housing Coach. Half of the pilot’s tenants have come through Housing Options. Nearly all of them enter this process with the aim of obtaining a Council tenancy. As such, placement in the PRS is an undesirable outcome. This means that it takes a little longer for the Housing Coach to establish a positive working relationship, than it would for a WRT caseworker with one of their customers.</w:t>
      </w:r>
    </w:p>
    <w:p w:rsidR="002C32E9" w:rsidRPr="002C32E9" w:rsidRDefault="002C32E9" w:rsidP="002C32E9">
      <w:pPr>
        <w:spacing w:after="0"/>
        <w:ind w:left="720"/>
        <w:contextualSpacing/>
        <w:rPr>
          <w:rFonts w:eastAsia="Calibri" w:cs="Arial"/>
          <w:color w:val="auto"/>
        </w:rPr>
      </w:pPr>
    </w:p>
    <w:p w:rsidR="002C32E9" w:rsidRPr="002C32E9" w:rsidRDefault="002C32E9" w:rsidP="002C32E9">
      <w:pPr>
        <w:spacing w:after="0"/>
        <w:ind w:left="720"/>
        <w:rPr>
          <w:rFonts w:eastAsia="Calibri" w:cs="Arial"/>
          <w:color w:val="auto"/>
        </w:rPr>
      </w:pPr>
      <w:r w:rsidRPr="002C32E9">
        <w:rPr>
          <w:rFonts w:eastAsia="Calibri" w:cs="Arial"/>
          <w:b/>
          <w:color w:val="auto"/>
        </w:rPr>
        <w:t>OPTIONS FOR DEVELOPMENT OF PILOT</w:t>
      </w: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The pilot is due to end in September 2018. For the reasons outlined in the paragraphs above, it is not yet possible to make a strong financial case for adopting the pilot’s approach for everyone the Council places in the private sector. However the project team is confident that if the issues identified above can be addressed, then this case will be able to be made. The positive outcomes achieved for some customers support this view. This means there are currently three options for the pilot:</w:t>
      </w:r>
    </w:p>
    <w:p w:rsidR="002C32E9" w:rsidRPr="002C32E9" w:rsidRDefault="002C32E9" w:rsidP="002C32E9">
      <w:pPr>
        <w:numPr>
          <w:ilvl w:val="1"/>
          <w:numId w:val="42"/>
        </w:numPr>
        <w:spacing w:after="0"/>
        <w:rPr>
          <w:rFonts w:eastAsia="Calibri" w:cs="Arial"/>
          <w:color w:val="auto"/>
        </w:rPr>
      </w:pPr>
      <w:r w:rsidRPr="002C32E9">
        <w:rPr>
          <w:rFonts w:eastAsia="Calibri" w:cs="Arial"/>
          <w:color w:val="auto"/>
        </w:rPr>
        <w:t>Let the pilot run until September 2018 and then make a decision about its future</w:t>
      </w:r>
    </w:p>
    <w:p w:rsidR="002C32E9" w:rsidRPr="002C32E9" w:rsidRDefault="002C32E9" w:rsidP="002C32E9">
      <w:pPr>
        <w:numPr>
          <w:ilvl w:val="1"/>
          <w:numId w:val="42"/>
        </w:numPr>
        <w:spacing w:after="0"/>
        <w:rPr>
          <w:rFonts w:eastAsia="Calibri" w:cs="Arial"/>
          <w:color w:val="auto"/>
        </w:rPr>
      </w:pPr>
      <w:r w:rsidRPr="002C32E9">
        <w:rPr>
          <w:rFonts w:eastAsia="Calibri" w:cs="Arial"/>
          <w:color w:val="auto"/>
        </w:rPr>
        <w:t>Extend the pilot until March 2019 and review in Autumn 2018</w:t>
      </w:r>
    </w:p>
    <w:p w:rsidR="002C32E9" w:rsidRPr="002C32E9" w:rsidRDefault="002C32E9" w:rsidP="002C32E9">
      <w:pPr>
        <w:numPr>
          <w:ilvl w:val="1"/>
          <w:numId w:val="42"/>
        </w:numPr>
        <w:spacing w:after="0"/>
        <w:rPr>
          <w:rFonts w:eastAsia="Calibri" w:cs="Arial"/>
          <w:color w:val="auto"/>
        </w:rPr>
      </w:pPr>
      <w:r w:rsidRPr="002C32E9">
        <w:rPr>
          <w:rFonts w:eastAsia="Calibri" w:cs="Arial"/>
          <w:color w:val="auto"/>
        </w:rPr>
        <w:t>End the pilot immediately</w:t>
      </w:r>
    </w:p>
    <w:p w:rsidR="002C32E9" w:rsidRPr="002C32E9" w:rsidRDefault="002C32E9" w:rsidP="002C32E9">
      <w:pPr>
        <w:numPr>
          <w:ilvl w:val="1"/>
          <w:numId w:val="42"/>
        </w:numPr>
        <w:spacing w:after="0"/>
        <w:rPr>
          <w:rFonts w:eastAsia="Calibri" w:cs="Arial"/>
          <w:color w:val="auto"/>
        </w:rPr>
      </w:pPr>
      <w:r w:rsidRPr="002C32E9">
        <w:rPr>
          <w:rFonts w:eastAsia="Calibri" w:cs="Arial"/>
          <w:color w:val="auto"/>
        </w:rPr>
        <w:t>Convert the pilot into business as usual now</w:t>
      </w:r>
    </w:p>
    <w:p w:rsidR="002C32E9" w:rsidRPr="002C32E9" w:rsidRDefault="002C32E9" w:rsidP="002C32E9">
      <w:pPr>
        <w:spacing w:after="0"/>
        <w:ind w:left="720"/>
        <w:rPr>
          <w:rFonts w:eastAsia="Calibri" w:cs="Arial"/>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Given that the pilot has achieved positive results for some customers, option three is not appropriate. However the issues </w:t>
      </w:r>
      <w:proofErr w:type="gramStart"/>
      <w:r w:rsidRPr="002C32E9">
        <w:rPr>
          <w:rFonts w:eastAsia="Calibri" w:cs="Arial"/>
          <w:color w:val="auto"/>
        </w:rPr>
        <w:t>raised</w:t>
      </w:r>
      <w:proofErr w:type="gramEnd"/>
      <w:r w:rsidRPr="002C32E9">
        <w:rPr>
          <w:rFonts w:eastAsia="Calibri" w:cs="Arial"/>
          <w:color w:val="auto"/>
        </w:rPr>
        <w:t xml:space="preserve"> in paragraphs 15-17 mean that Option 4 cannot yet be pursued. Option 2 would allow time to resolve the issues preventing better outcomes being achieved, and to achieve positive outcomes for more tenants. Funding for turning the work into business as usual could be addressed in the 2019/20 budget process. Option 1 would not allow this, and presents operational issues, including the retention of staff, so Option 2 is recommended.</w:t>
      </w:r>
    </w:p>
    <w:p w:rsidR="002C32E9" w:rsidRPr="002C32E9" w:rsidRDefault="002C32E9" w:rsidP="002C32E9">
      <w:pPr>
        <w:spacing w:after="0"/>
        <w:ind w:left="720"/>
        <w:rPr>
          <w:rFonts w:eastAsia="Calibri" w:cs="Arial"/>
          <w:color w:val="auto"/>
        </w:rPr>
      </w:pPr>
    </w:p>
    <w:p w:rsidR="002C32E9" w:rsidRPr="002C5743" w:rsidRDefault="002C32E9" w:rsidP="002C32E9">
      <w:pPr>
        <w:numPr>
          <w:ilvl w:val="0"/>
          <w:numId w:val="34"/>
        </w:numPr>
        <w:spacing w:after="0"/>
        <w:rPr>
          <w:rFonts w:eastAsia="Calibri" w:cs="Arial"/>
          <w:color w:val="auto"/>
        </w:rPr>
      </w:pPr>
      <w:r w:rsidRPr="002C5743">
        <w:rPr>
          <w:rFonts w:eastAsia="Calibri" w:cs="Arial"/>
          <w:color w:val="auto"/>
        </w:rPr>
        <w:t xml:space="preserve">Additional funding would be required to extend the pilot for the second half of 18/19. This would be to cover the cost of the Housing Coach and an Incomes Officer to collect the rents. In order to support the transition from a pilot to business as usual, it is recommended that an additional housing coach is employed for the last six months of the project. This would allow time for them to be trained, and start to take on their own cases before the pilot ends. </w:t>
      </w:r>
      <w:r w:rsidR="00D52599" w:rsidRPr="002C5743">
        <w:rPr>
          <w:rFonts w:eastAsia="Calibri" w:cs="Arial"/>
          <w:color w:val="auto"/>
        </w:rPr>
        <w:t xml:space="preserve">Additional funding is being sought, with a </w:t>
      </w:r>
      <w:proofErr w:type="spellStart"/>
      <w:r w:rsidR="00D52599" w:rsidRPr="002C5743">
        <w:rPr>
          <w:rFonts w:eastAsia="Calibri" w:cs="Arial"/>
          <w:color w:val="auto"/>
        </w:rPr>
        <w:t>fall back</w:t>
      </w:r>
      <w:proofErr w:type="spellEnd"/>
      <w:r w:rsidR="00D52599" w:rsidRPr="002C5743">
        <w:rPr>
          <w:rFonts w:eastAsia="Calibri" w:cs="Arial"/>
          <w:color w:val="auto"/>
        </w:rPr>
        <w:t xml:space="preserve"> position being that the Homelessness Prevention reserve will be used.</w:t>
      </w:r>
    </w:p>
    <w:p w:rsidR="002C32E9" w:rsidRPr="002C32E9" w:rsidRDefault="002C32E9" w:rsidP="002C32E9">
      <w:pPr>
        <w:spacing w:after="0"/>
        <w:rPr>
          <w:rFonts w:eastAsia="Calibri" w:cs="Arial"/>
          <w:b/>
          <w:color w:val="auto"/>
        </w:rPr>
      </w:pPr>
    </w:p>
    <w:p w:rsidR="002C32E9" w:rsidRPr="002C32E9" w:rsidRDefault="002C32E9" w:rsidP="002C32E9">
      <w:pPr>
        <w:spacing w:after="0"/>
        <w:ind w:left="720"/>
        <w:rPr>
          <w:rFonts w:eastAsia="Calibri" w:cs="Arial"/>
          <w:b/>
          <w:color w:val="auto"/>
        </w:rPr>
      </w:pPr>
      <w:r w:rsidRPr="002C32E9">
        <w:rPr>
          <w:rFonts w:eastAsia="Calibri" w:cs="Arial"/>
          <w:b/>
          <w:color w:val="auto"/>
        </w:rPr>
        <w:t>IMPACT ON SERVICE AREAS</w:t>
      </w: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The Home Choice pilot has required new processes to be adopted by a variety of frontline and support services. The pilot is a great example of the Team Oxford approach where tasks are shared across departments with a shared goal to improve customer outcomes. The process has involved cultural change and has met minor challenges along the way to achieve the objectives. Appendix Two details the impact of the pilot on the service areas involved.</w:t>
      </w:r>
    </w:p>
    <w:p w:rsidR="002C32E9" w:rsidRPr="002C32E9" w:rsidRDefault="002C32E9" w:rsidP="002C32E9">
      <w:pPr>
        <w:spacing w:after="0"/>
        <w:rPr>
          <w:rFonts w:eastAsia="Calibri" w:cs="Arial"/>
          <w:color w:val="auto"/>
        </w:rPr>
      </w:pPr>
    </w:p>
    <w:p w:rsidR="002C32E9" w:rsidRPr="002C32E9" w:rsidRDefault="002C32E9" w:rsidP="002C32E9">
      <w:pPr>
        <w:spacing w:after="0"/>
        <w:ind w:left="720"/>
        <w:rPr>
          <w:rFonts w:eastAsia="Calibri" w:cs="Arial"/>
          <w:b/>
          <w:color w:val="auto"/>
        </w:rPr>
      </w:pPr>
      <w:r w:rsidRPr="002C32E9">
        <w:rPr>
          <w:rFonts w:eastAsia="Calibri" w:cs="Arial"/>
          <w:b/>
          <w:color w:val="auto"/>
        </w:rPr>
        <w:t>FINANCIAL IM</w:t>
      </w:r>
      <w:r>
        <w:rPr>
          <w:rFonts w:eastAsia="Calibri" w:cs="Arial"/>
          <w:b/>
          <w:color w:val="auto"/>
        </w:rPr>
        <w:t>PLICATION</w:t>
      </w:r>
    </w:p>
    <w:p w:rsidR="002C32E9" w:rsidRPr="00D52599" w:rsidRDefault="002C32E9" w:rsidP="00D52599">
      <w:pPr>
        <w:numPr>
          <w:ilvl w:val="0"/>
          <w:numId w:val="34"/>
        </w:numPr>
        <w:spacing w:after="0"/>
        <w:rPr>
          <w:rFonts w:eastAsia="Calibri" w:cs="Arial"/>
          <w:color w:val="auto"/>
        </w:rPr>
      </w:pPr>
      <w:r w:rsidRPr="00D52599">
        <w:rPr>
          <w:rFonts w:eastAsia="Calibri" w:cs="Arial"/>
          <w:color w:val="auto"/>
        </w:rPr>
        <w:t xml:space="preserve">The total cost of the pilot over two years was projected to be £172k, as shown in Table 5 below. This excludes costs for landlord incentives and tenant top-ups as </w:t>
      </w:r>
      <w:r w:rsidRPr="00D52599">
        <w:rPr>
          <w:rFonts w:eastAsia="Calibri" w:cs="Arial"/>
          <w:color w:val="auto"/>
        </w:rPr>
        <w:lastRenderedPageBreak/>
        <w:t xml:space="preserve">these would still be being made whether the pilot was running or not, albeit under the Home Choice model. </w:t>
      </w:r>
      <w:r w:rsidR="00D52599" w:rsidRPr="00D52599">
        <w:rPr>
          <w:rFonts w:eastAsia="Calibri" w:cs="Arial"/>
          <w:color w:val="auto"/>
        </w:rPr>
        <w:t xml:space="preserve">The Rent Guarantee Scheme does place the Council at greater risk of financial loss as unlike deposits or bonds, the </w:t>
      </w:r>
      <w:r w:rsidR="00D52599">
        <w:rPr>
          <w:rFonts w:eastAsia="Calibri" w:cs="Arial"/>
          <w:color w:val="auto"/>
        </w:rPr>
        <w:t xml:space="preserve">liability of </w:t>
      </w:r>
      <w:r w:rsidR="00D52599" w:rsidRPr="00D52599">
        <w:rPr>
          <w:rFonts w:eastAsia="Calibri" w:cs="Arial"/>
          <w:color w:val="auto"/>
        </w:rPr>
        <w:t xml:space="preserve">rent guarantee lasts until the </w:t>
      </w:r>
      <w:r w:rsidR="00D52599">
        <w:rPr>
          <w:rFonts w:eastAsia="Calibri" w:cs="Arial"/>
          <w:color w:val="auto"/>
        </w:rPr>
        <w:t>tenancy</w:t>
      </w:r>
      <w:r w:rsidR="00D52599" w:rsidRPr="00D52599">
        <w:rPr>
          <w:rFonts w:eastAsia="Calibri" w:cs="Arial"/>
          <w:color w:val="auto"/>
        </w:rPr>
        <w:t xml:space="preserve"> is ended</w:t>
      </w:r>
      <w:r w:rsidR="00D52599">
        <w:rPr>
          <w:rFonts w:eastAsia="Calibri" w:cs="Arial"/>
          <w:color w:val="auto"/>
        </w:rPr>
        <w:t>.</w:t>
      </w:r>
      <w:r w:rsidR="005D6BB4">
        <w:rPr>
          <w:rFonts w:eastAsia="Calibri" w:cs="Arial"/>
          <w:color w:val="auto"/>
        </w:rPr>
        <w:t xml:space="preserve"> At the end of the pilot we will be able to quantify the costs of collection within this new model.</w:t>
      </w:r>
    </w:p>
    <w:p w:rsidR="002C32E9" w:rsidRPr="002C32E9" w:rsidRDefault="002C32E9" w:rsidP="002C32E9">
      <w:pPr>
        <w:spacing w:after="0"/>
        <w:ind w:left="720"/>
        <w:rPr>
          <w:rFonts w:eastAsia="Calibri" w:cs="Arial"/>
          <w:b/>
          <w:color w:val="auto"/>
        </w:rPr>
      </w:pPr>
      <w:proofErr w:type="gramStart"/>
      <w:r w:rsidRPr="002C32E9">
        <w:rPr>
          <w:rFonts w:eastAsia="Calibri" w:cs="Arial"/>
          <w:b/>
          <w:color w:val="auto"/>
        </w:rPr>
        <w:t>Table 5.</w:t>
      </w:r>
      <w:proofErr w:type="gramEnd"/>
    </w:p>
    <w:tbl>
      <w:tblPr>
        <w:tblStyle w:val="TableGrid1"/>
        <w:tblW w:w="0" w:type="auto"/>
        <w:tblInd w:w="853" w:type="dxa"/>
        <w:tblLook w:val="04A0" w:firstRow="1" w:lastRow="0" w:firstColumn="1" w:lastColumn="0" w:noHBand="0" w:noVBand="1"/>
      </w:tblPr>
      <w:tblGrid>
        <w:gridCol w:w="5211"/>
        <w:gridCol w:w="2127"/>
      </w:tblGrid>
      <w:tr w:rsidR="002C32E9" w:rsidRPr="002C32E9" w:rsidTr="002C32E9">
        <w:tc>
          <w:tcPr>
            <w:tcW w:w="5211" w:type="dxa"/>
          </w:tcPr>
          <w:p w:rsidR="002C32E9" w:rsidRPr="002C32E9" w:rsidRDefault="002C32E9" w:rsidP="002C32E9">
            <w:pPr>
              <w:spacing w:after="0"/>
              <w:rPr>
                <w:b/>
                <w:color w:val="auto"/>
              </w:rPr>
            </w:pPr>
            <w:r w:rsidRPr="002C32E9">
              <w:rPr>
                <w:b/>
                <w:color w:val="auto"/>
              </w:rPr>
              <w:t>Expenditure Item</w:t>
            </w:r>
          </w:p>
        </w:tc>
        <w:tc>
          <w:tcPr>
            <w:tcW w:w="2127" w:type="dxa"/>
          </w:tcPr>
          <w:p w:rsidR="002C32E9" w:rsidRPr="002C32E9" w:rsidRDefault="002C32E9" w:rsidP="002C32E9">
            <w:pPr>
              <w:spacing w:after="0"/>
              <w:rPr>
                <w:b/>
                <w:color w:val="auto"/>
              </w:rPr>
            </w:pPr>
            <w:r w:rsidRPr="002C32E9">
              <w:rPr>
                <w:b/>
                <w:color w:val="auto"/>
              </w:rPr>
              <w:t>Cost</w:t>
            </w:r>
          </w:p>
        </w:tc>
      </w:tr>
      <w:tr w:rsidR="002C32E9" w:rsidRPr="002C32E9" w:rsidTr="002C32E9">
        <w:tc>
          <w:tcPr>
            <w:tcW w:w="5211" w:type="dxa"/>
          </w:tcPr>
          <w:p w:rsidR="002C32E9" w:rsidRPr="002C32E9" w:rsidRDefault="002C32E9" w:rsidP="002C32E9">
            <w:pPr>
              <w:spacing w:after="0"/>
              <w:rPr>
                <w:color w:val="auto"/>
              </w:rPr>
            </w:pPr>
            <w:r w:rsidRPr="002C32E9">
              <w:rPr>
                <w:color w:val="auto"/>
              </w:rPr>
              <w:t>Consultant to develop rent guarantee model</w:t>
            </w:r>
          </w:p>
        </w:tc>
        <w:tc>
          <w:tcPr>
            <w:tcW w:w="2127" w:type="dxa"/>
          </w:tcPr>
          <w:p w:rsidR="002C32E9" w:rsidRPr="002C32E9" w:rsidRDefault="002C32E9" w:rsidP="002C32E9">
            <w:pPr>
              <w:spacing w:after="0"/>
              <w:rPr>
                <w:color w:val="auto"/>
              </w:rPr>
            </w:pPr>
            <w:r w:rsidRPr="002C32E9">
              <w:rPr>
                <w:color w:val="auto"/>
              </w:rPr>
              <w:t>£7,500</w:t>
            </w:r>
          </w:p>
        </w:tc>
      </w:tr>
      <w:tr w:rsidR="002C32E9" w:rsidRPr="002C32E9" w:rsidTr="002C32E9">
        <w:tc>
          <w:tcPr>
            <w:tcW w:w="5211" w:type="dxa"/>
          </w:tcPr>
          <w:p w:rsidR="002C32E9" w:rsidRPr="002C32E9" w:rsidRDefault="002C32E9" w:rsidP="002C32E9">
            <w:pPr>
              <w:spacing w:after="0"/>
              <w:rPr>
                <w:color w:val="auto"/>
              </w:rPr>
            </w:pPr>
            <w:r w:rsidRPr="002C32E9">
              <w:rPr>
                <w:color w:val="auto"/>
              </w:rPr>
              <w:t>Housing Coach</w:t>
            </w:r>
          </w:p>
        </w:tc>
        <w:tc>
          <w:tcPr>
            <w:tcW w:w="2127" w:type="dxa"/>
          </w:tcPr>
          <w:p w:rsidR="002C32E9" w:rsidRPr="002C32E9" w:rsidRDefault="002C32E9" w:rsidP="002C32E9">
            <w:pPr>
              <w:spacing w:after="0"/>
              <w:rPr>
                <w:color w:val="auto"/>
              </w:rPr>
            </w:pPr>
            <w:r w:rsidRPr="002C32E9">
              <w:rPr>
                <w:color w:val="auto"/>
              </w:rPr>
              <w:t>£70,700</w:t>
            </w:r>
          </w:p>
        </w:tc>
      </w:tr>
      <w:tr w:rsidR="002C32E9" w:rsidRPr="002C32E9" w:rsidTr="002C32E9">
        <w:tc>
          <w:tcPr>
            <w:tcW w:w="5211" w:type="dxa"/>
          </w:tcPr>
          <w:p w:rsidR="002C32E9" w:rsidRPr="002C32E9" w:rsidRDefault="002C32E9" w:rsidP="002C32E9">
            <w:pPr>
              <w:spacing w:after="0"/>
              <w:rPr>
                <w:color w:val="auto"/>
              </w:rPr>
            </w:pPr>
            <w:r w:rsidRPr="002C32E9">
              <w:rPr>
                <w:color w:val="auto"/>
              </w:rPr>
              <w:t>Welfare Reform Team support</w:t>
            </w:r>
          </w:p>
        </w:tc>
        <w:tc>
          <w:tcPr>
            <w:tcW w:w="2127" w:type="dxa"/>
          </w:tcPr>
          <w:p w:rsidR="002C32E9" w:rsidRPr="002C32E9" w:rsidRDefault="002C32E9" w:rsidP="002C32E9">
            <w:pPr>
              <w:spacing w:after="0"/>
              <w:rPr>
                <w:color w:val="auto"/>
              </w:rPr>
            </w:pPr>
            <w:r w:rsidRPr="002C32E9">
              <w:rPr>
                <w:color w:val="auto"/>
              </w:rPr>
              <w:t>£35,350</w:t>
            </w:r>
          </w:p>
        </w:tc>
      </w:tr>
      <w:tr w:rsidR="002C32E9" w:rsidRPr="002C32E9" w:rsidTr="002C32E9">
        <w:tc>
          <w:tcPr>
            <w:tcW w:w="5211" w:type="dxa"/>
          </w:tcPr>
          <w:p w:rsidR="002C32E9" w:rsidRPr="002C32E9" w:rsidRDefault="002C32E9" w:rsidP="002C32E9">
            <w:pPr>
              <w:spacing w:after="0"/>
              <w:rPr>
                <w:color w:val="auto"/>
              </w:rPr>
            </w:pPr>
            <w:r w:rsidRPr="002C32E9">
              <w:rPr>
                <w:color w:val="auto"/>
              </w:rPr>
              <w:t>Specialist support for customers</w:t>
            </w:r>
          </w:p>
        </w:tc>
        <w:tc>
          <w:tcPr>
            <w:tcW w:w="2127" w:type="dxa"/>
          </w:tcPr>
          <w:p w:rsidR="002C32E9" w:rsidRPr="002C32E9" w:rsidRDefault="002C32E9" w:rsidP="002C32E9">
            <w:pPr>
              <w:spacing w:after="0"/>
              <w:rPr>
                <w:color w:val="auto"/>
              </w:rPr>
            </w:pPr>
            <w:r w:rsidRPr="002C32E9">
              <w:rPr>
                <w:color w:val="auto"/>
              </w:rPr>
              <w:t>£21,280</w:t>
            </w:r>
          </w:p>
        </w:tc>
      </w:tr>
      <w:tr w:rsidR="002C32E9" w:rsidRPr="002C32E9" w:rsidTr="002C32E9">
        <w:tc>
          <w:tcPr>
            <w:tcW w:w="5211" w:type="dxa"/>
          </w:tcPr>
          <w:p w:rsidR="002C32E9" w:rsidRPr="002C32E9" w:rsidRDefault="002C32E9" w:rsidP="002C32E9">
            <w:pPr>
              <w:spacing w:after="0"/>
              <w:rPr>
                <w:color w:val="auto"/>
              </w:rPr>
            </w:pPr>
            <w:r w:rsidRPr="002C32E9">
              <w:rPr>
                <w:color w:val="auto"/>
              </w:rPr>
              <w:t>Incomes Officer for rent collection</w:t>
            </w:r>
          </w:p>
        </w:tc>
        <w:tc>
          <w:tcPr>
            <w:tcW w:w="2127" w:type="dxa"/>
          </w:tcPr>
          <w:p w:rsidR="002C32E9" w:rsidRPr="002C32E9" w:rsidRDefault="002C32E9" w:rsidP="002C32E9">
            <w:pPr>
              <w:spacing w:after="0"/>
              <w:rPr>
                <w:color w:val="auto"/>
              </w:rPr>
            </w:pPr>
            <w:r w:rsidRPr="002C32E9">
              <w:rPr>
                <w:color w:val="auto"/>
              </w:rPr>
              <w:t>£27,360</w:t>
            </w:r>
          </w:p>
        </w:tc>
      </w:tr>
      <w:tr w:rsidR="002C32E9" w:rsidRPr="002C32E9" w:rsidTr="002C32E9">
        <w:tc>
          <w:tcPr>
            <w:tcW w:w="5211" w:type="dxa"/>
          </w:tcPr>
          <w:p w:rsidR="002C32E9" w:rsidRPr="002C32E9" w:rsidRDefault="002C32E9" w:rsidP="002C32E9">
            <w:pPr>
              <w:spacing w:after="0"/>
              <w:rPr>
                <w:color w:val="auto"/>
              </w:rPr>
            </w:pPr>
            <w:r w:rsidRPr="002C32E9">
              <w:rPr>
                <w:color w:val="auto"/>
              </w:rPr>
              <w:t>ICT costs to amend Northgate</w:t>
            </w:r>
          </w:p>
        </w:tc>
        <w:tc>
          <w:tcPr>
            <w:tcW w:w="2127" w:type="dxa"/>
          </w:tcPr>
          <w:p w:rsidR="002C32E9" w:rsidRPr="002C32E9" w:rsidRDefault="002C32E9" w:rsidP="002C32E9">
            <w:pPr>
              <w:spacing w:after="0"/>
              <w:rPr>
                <w:color w:val="auto"/>
              </w:rPr>
            </w:pPr>
            <w:r w:rsidRPr="002C32E9">
              <w:rPr>
                <w:color w:val="auto"/>
              </w:rPr>
              <w:t>£10,000</w:t>
            </w:r>
          </w:p>
        </w:tc>
      </w:tr>
      <w:tr w:rsidR="002C32E9" w:rsidRPr="002C32E9" w:rsidTr="002C32E9">
        <w:tc>
          <w:tcPr>
            <w:tcW w:w="5211" w:type="dxa"/>
          </w:tcPr>
          <w:p w:rsidR="002C32E9" w:rsidRPr="002C32E9" w:rsidRDefault="002C32E9" w:rsidP="002C32E9">
            <w:pPr>
              <w:spacing w:after="0"/>
              <w:ind w:left="720"/>
              <w:jc w:val="right"/>
              <w:rPr>
                <w:color w:val="auto"/>
              </w:rPr>
            </w:pPr>
            <w:r w:rsidRPr="002C32E9">
              <w:rPr>
                <w:color w:val="auto"/>
              </w:rPr>
              <w:t>Total</w:t>
            </w:r>
          </w:p>
        </w:tc>
        <w:tc>
          <w:tcPr>
            <w:tcW w:w="2127" w:type="dxa"/>
          </w:tcPr>
          <w:p w:rsidR="002C32E9" w:rsidRPr="002C32E9" w:rsidRDefault="002C32E9" w:rsidP="002C32E9">
            <w:pPr>
              <w:spacing w:after="0"/>
              <w:rPr>
                <w:color w:val="auto"/>
              </w:rPr>
            </w:pPr>
            <w:r w:rsidRPr="002C32E9">
              <w:rPr>
                <w:color w:val="auto"/>
              </w:rPr>
              <w:t>£172,190</w:t>
            </w:r>
          </w:p>
        </w:tc>
      </w:tr>
    </w:tbl>
    <w:p w:rsidR="002C32E9" w:rsidRPr="002C32E9" w:rsidRDefault="002C32E9" w:rsidP="002C32E9">
      <w:pPr>
        <w:spacing w:after="0"/>
        <w:rPr>
          <w:rFonts w:eastAsia="Calibri" w:cs="Arial"/>
          <w:b/>
          <w:color w:val="auto"/>
        </w:rPr>
      </w:pPr>
    </w:p>
    <w:p w:rsidR="002C32E9" w:rsidRPr="002C32E9" w:rsidRDefault="002C32E9" w:rsidP="002C32E9">
      <w:pPr>
        <w:numPr>
          <w:ilvl w:val="0"/>
          <w:numId w:val="34"/>
        </w:numPr>
        <w:spacing w:after="0"/>
        <w:rPr>
          <w:rFonts w:eastAsia="Calibri" w:cs="Arial"/>
          <w:color w:val="auto"/>
        </w:rPr>
      </w:pPr>
      <w:r w:rsidRPr="002C32E9">
        <w:rPr>
          <w:rFonts w:eastAsia="Calibri" w:cs="Arial"/>
          <w:color w:val="auto"/>
        </w:rPr>
        <w:t xml:space="preserve">The introduction of a Rent Guarantee Scheme has allowed the Council to </w:t>
      </w:r>
      <w:r w:rsidR="005D6BB4">
        <w:rPr>
          <w:rFonts w:eastAsia="Calibri" w:cs="Arial"/>
          <w:color w:val="auto"/>
        </w:rPr>
        <w:t>source rented properties</w:t>
      </w:r>
      <w:r w:rsidRPr="002C32E9">
        <w:rPr>
          <w:rFonts w:eastAsia="Calibri" w:cs="Arial"/>
          <w:color w:val="auto"/>
        </w:rPr>
        <w:t xml:space="preserve"> at rents below the market rate. This means that the Council is spending less money on top-ups than it would do under the existing Home Choice scheme</w:t>
      </w:r>
      <w:r w:rsidR="00BB20FA">
        <w:rPr>
          <w:rFonts w:eastAsia="Calibri" w:cs="Arial"/>
          <w:color w:val="auto"/>
        </w:rPr>
        <w:t>. This is shown</w:t>
      </w:r>
      <w:r w:rsidRPr="002C32E9">
        <w:rPr>
          <w:rFonts w:eastAsia="Calibri" w:cs="Arial"/>
          <w:color w:val="auto"/>
        </w:rPr>
        <w:t xml:space="preserve"> in Table 6 below</w:t>
      </w:r>
      <w:r w:rsidR="00BB20FA">
        <w:rPr>
          <w:rFonts w:eastAsia="Calibri" w:cs="Arial"/>
          <w:color w:val="auto"/>
        </w:rPr>
        <w:t xml:space="preserve"> which provides a</w:t>
      </w:r>
      <w:r w:rsidRPr="002C32E9">
        <w:rPr>
          <w:rFonts w:eastAsia="Calibri" w:cs="Arial"/>
          <w:color w:val="auto"/>
        </w:rPr>
        <w:t xml:space="preserve"> </w:t>
      </w:r>
      <w:r w:rsidR="00BB20FA">
        <w:rPr>
          <w:rFonts w:eastAsia="Calibri" w:cs="Arial"/>
          <w:color w:val="auto"/>
        </w:rPr>
        <w:t xml:space="preserve">monthly </w:t>
      </w:r>
      <w:r w:rsidRPr="002C32E9">
        <w:rPr>
          <w:rFonts w:eastAsia="Calibri" w:cs="Arial"/>
          <w:color w:val="auto"/>
        </w:rPr>
        <w:t xml:space="preserve">cost comparison between the two schemes operated by the Council, as well as the cost of Temporary Accommodation and Bed &amp; Breakfast accommodation. </w:t>
      </w:r>
    </w:p>
    <w:p w:rsidR="002C32E9" w:rsidRPr="002C32E9" w:rsidRDefault="002C32E9" w:rsidP="002C32E9">
      <w:pPr>
        <w:spacing w:after="0"/>
        <w:ind w:left="720"/>
        <w:rPr>
          <w:rFonts w:eastAsia="Calibri" w:cs="Arial"/>
          <w:color w:val="auto"/>
        </w:rPr>
      </w:pPr>
    </w:p>
    <w:p w:rsidR="002C32E9" w:rsidRPr="002C32E9" w:rsidRDefault="002C32E9" w:rsidP="002C32E9">
      <w:pPr>
        <w:spacing w:after="0"/>
        <w:ind w:left="720"/>
        <w:rPr>
          <w:rFonts w:eastAsia="Calibri" w:cs="Arial"/>
          <w:b/>
          <w:color w:val="auto"/>
        </w:rPr>
      </w:pPr>
      <w:proofErr w:type="gramStart"/>
      <w:r w:rsidRPr="002C32E9">
        <w:rPr>
          <w:rFonts w:eastAsia="Calibri" w:cs="Arial"/>
          <w:b/>
          <w:color w:val="auto"/>
        </w:rPr>
        <w:t>Table 6.</w:t>
      </w:r>
      <w:proofErr w:type="gramEnd"/>
    </w:p>
    <w:tbl>
      <w:tblPr>
        <w:tblStyle w:val="TableGrid1"/>
        <w:tblW w:w="0" w:type="auto"/>
        <w:tblInd w:w="720" w:type="dxa"/>
        <w:tblLook w:val="04A0" w:firstRow="1" w:lastRow="0" w:firstColumn="1" w:lastColumn="0" w:noHBand="0" w:noVBand="1"/>
      </w:tblPr>
      <w:tblGrid>
        <w:gridCol w:w="1758"/>
        <w:gridCol w:w="1786"/>
        <w:gridCol w:w="1732"/>
        <w:gridCol w:w="1794"/>
        <w:gridCol w:w="1724"/>
      </w:tblGrid>
      <w:tr w:rsidR="00BB20FA" w:rsidRPr="002C32E9" w:rsidTr="002C32E9">
        <w:tc>
          <w:tcPr>
            <w:tcW w:w="1848" w:type="dxa"/>
          </w:tcPr>
          <w:p w:rsidR="00BB20FA" w:rsidRPr="00BB20FA" w:rsidRDefault="00BB20FA" w:rsidP="002C32E9">
            <w:pPr>
              <w:spacing w:after="0"/>
              <w:rPr>
                <w:b/>
                <w:color w:val="auto"/>
              </w:rPr>
            </w:pPr>
            <w:r w:rsidRPr="00BB20FA">
              <w:rPr>
                <w:b/>
                <w:color w:val="auto"/>
              </w:rPr>
              <w:t>Property size</w:t>
            </w:r>
          </w:p>
        </w:tc>
        <w:tc>
          <w:tcPr>
            <w:tcW w:w="1848" w:type="dxa"/>
          </w:tcPr>
          <w:p w:rsidR="002C32E9" w:rsidRPr="00BB20FA" w:rsidRDefault="00BB20FA" w:rsidP="002C32E9">
            <w:pPr>
              <w:spacing w:after="0"/>
              <w:rPr>
                <w:b/>
                <w:color w:val="auto"/>
              </w:rPr>
            </w:pPr>
            <w:r w:rsidRPr="00BB20FA">
              <w:rPr>
                <w:b/>
                <w:color w:val="auto"/>
              </w:rPr>
              <w:t>Rent Guarantee</w:t>
            </w:r>
          </w:p>
        </w:tc>
        <w:tc>
          <w:tcPr>
            <w:tcW w:w="1848" w:type="dxa"/>
          </w:tcPr>
          <w:p w:rsidR="002C32E9" w:rsidRPr="00BB20FA" w:rsidRDefault="00BB20FA" w:rsidP="002C32E9">
            <w:pPr>
              <w:spacing w:after="0"/>
              <w:rPr>
                <w:b/>
                <w:color w:val="auto"/>
              </w:rPr>
            </w:pPr>
            <w:r w:rsidRPr="00BB20FA">
              <w:rPr>
                <w:b/>
                <w:color w:val="auto"/>
              </w:rPr>
              <w:t xml:space="preserve">Home Choice </w:t>
            </w:r>
          </w:p>
        </w:tc>
        <w:tc>
          <w:tcPr>
            <w:tcW w:w="1849" w:type="dxa"/>
          </w:tcPr>
          <w:p w:rsidR="002C32E9" w:rsidRPr="00BB20FA" w:rsidRDefault="00BB20FA" w:rsidP="002C32E9">
            <w:pPr>
              <w:spacing w:after="0"/>
              <w:rPr>
                <w:b/>
                <w:color w:val="auto"/>
              </w:rPr>
            </w:pPr>
            <w:r w:rsidRPr="00BB20FA">
              <w:rPr>
                <w:b/>
                <w:color w:val="auto"/>
              </w:rPr>
              <w:t>Temporary</w:t>
            </w:r>
          </w:p>
        </w:tc>
        <w:tc>
          <w:tcPr>
            <w:tcW w:w="1849" w:type="dxa"/>
          </w:tcPr>
          <w:p w:rsidR="002C32E9" w:rsidRPr="00BB20FA" w:rsidRDefault="00BB20FA" w:rsidP="002C32E9">
            <w:pPr>
              <w:spacing w:after="0"/>
              <w:rPr>
                <w:b/>
                <w:color w:val="auto"/>
              </w:rPr>
            </w:pPr>
            <w:r w:rsidRPr="00BB20FA">
              <w:rPr>
                <w:b/>
                <w:color w:val="auto"/>
              </w:rPr>
              <w:t>B&amp;B</w:t>
            </w:r>
          </w:p>
        </w:tc>
      </w:tr>
      <w:tr w:rsidR="00BB20FA" w:rsidRPr="002C32E9" w:rsidTr="002C32E9">
        <w:tc>
          <w:tcPr>
            <w:tcW w:w="1848" w:type="dxa"/>
          </w:tcPr>
          <w:p w:rsidR="002C32E9" w:rsidRPr="002C32E9" w:rsidRDefault="00BB20FA" w:rsidP="002C32E9">
            <w:pPr>
              <w:spacing w:after="0"/>
              <w:rPr>
                <w:color w:val="auto"/>
              </w:rPr>
            </w:pPr>
            <w:r>
              <w:rPr>
                <w:color w:val="auto"/>
              </w:rPr>
              <w:t>2 bedroom</w:t>
            </w:r>
          </w:p>
        </w:tc>
        <w:tc>
          <w:tcPr>
            <w:tcW w:w="1848" w:type="dxa"/>
          </w:tcPr>
          <w:p w:rsidR="002C32E9" w:rsidRPr="002C32E9" w:rsidRDefault="00BB20FA" w:rsidP="002C32E9">
            <w:pPr>
              <w:spacing w:after="0"/>
              <w:rPr>
                <w:color w:val="auto"/>
              </w:rPr>
            </w:pPr>
            <w:r>
              <w:rPr>
                <w:color w:val="auto"/>
              </w:rPr>
              <w:t>£925</w:t>
            </w:r>
          </w:p>
        </w:tc>
        <w:tc>
          <w:tcPr>
            <w:tcW w:w="1848" w:type="dxa"/>
          </w:tcPr>
          <w:p w:rsidR="002C32E9" w:rsidRPr="002C32E9" w:rsidRDefault="00BB20FA" w:rsidP="002C32E9">
            <w:pPr>
              <w:spacing w:after="0"/>
              <w:rPr>
                <w:color w:val="auto"/>
              </w:rPr>
            </w:pPr>
            <w:r>
              <w:rPr>
                <w:color w:val="auto"/>
              </w:rPr>
              <w:t>£975</w:t>
            </w:r>
          </w:p>
        </w:tc>
        <w:tc>
          <w:tcPr>
            <w:tcW w:w="1849" w:type="dxa"/>
          </w:tcPr>
          <w:p w:rsidR="002C32E9" w:rsidRPr="002C32E9" w:rsidRDefault="00BB20FA" w:rsidP="002C32E9">
            <w:pPr>
              <w:spacing w:after="0"/>
              <w:rPr>
                <w:color w:val="auto"/>
              </w:rPr>
            </w:pPr>
            <w:r>
              <w:rPr>
                <w:color w:val="auto"/>
              </w:rPr>
              <w:t>£1,458</w:t>
            </w:r>
          </w:p>
        </w:tc>
        <w:tc>
          <w:tcPr>
            <w:tcW w:w="1849" w:type="dxa"/>
          </w:tcPr>
          <w:p w:rsidR="002C32E9" w:rsidRPr="002C32E9" w:rsidRDefault="00BB20FA" w:rsidP="002C32E9">
            <w:pPr>
              <w:spacing w:after="0"/>
              <w:rPr>
                <w:color w:val="auto"/>
              </w:rPr>
            </w:pPr>
            <w:r>
              <w:rPr>
                <w:color w:val="auto"/>
              </w:rPr>
              <w:t>£2,805</w:t>
            </w:r>
          </w:p>
        </w:tc>
      </w:tr>
      <w:tr w:rsidR="00BB20FA" w:rsidRPr="002C32E9" w:rsidTr="002C32E9">
        <w:tc>
          <w:tcPr>
            <w:tcW w:w="1848" w:type="dxa"/>
          </w:tcPr>
          <w:p w:rsidR="002C32E9" w:rsidRPr="002C32E9" w:rsidRDefault="00BB20FA" w:rsidP="002C32E9">
            <w:pPr>
              <w:spacing w:after="0"/>
              <w:rPr>
                <w:color w:val="auto"/>
              </w:rPr>
            </w:pPr>
            <w:r>
              <w:rPr>
                <w:color w:val="auto"/>
              </w:rPr>
              <w:t>3 bedroom</w:t>
            </w:r>
          </w:p>
        </w:tc>
        <w:tc>
          <w:tcPr>
            <w:tcW w:w="1848" w:type="dxa"/>
          </w:tcPr>
          <w:p w:rsidR="002C32E9" w:rsidRPr="002C32E9" w:rsidRDefault="00BB20FA" w:rsidP="002C32E9">
            <w:pPr>
              <w:spacing w:after="0"/>
              <w:rPr>
                <w:color w:val="auto"/>
              </w:rPr>
            </w:pPr>
            <w:r>
              <w:rPr>
                <w:color w:val="auto"/>
              </w:rPr>
              <w:t>£1,100</w:t>
            </w:r>
          </w:p>
        </w:tc>
        <w:tc>
          <w:tcPr>
            <w:tcW w:w="1848" w:type="dxa"/>
          </w:tcPr>
          <w:p w:rsidR="002C32E9" w:rsidRPr="002C32E9" w:rsidRDefault="00BB20FA" w:rsidP="002C32E9">
            <w:pPr>
              <w:spacing w:after="0"/>
              <w:rPr>
                <w:color w:val="auto"/>
              </w:rPr>
            </w:pPr>
            <w:r>
              <w:rPr>
                <w:color w:val="auto"/>
              </w:rPr>
              <w:t>£1,200</w:t>
            </w:r>
          </w:p>
        </w:tc>
        <w:tc>
          <w:tcPr>
            <w:tcW w:w="1849" w:type="dxa"/>
          </w:tcPr>
          <w:p w:rsidR="002C32E9" w:rsidRPr="002C32E9" w:rsidRDefault="00BB20FA" w:rsidP="002C32E9">
            <w:pPr>
              <w:spacing w:after="0"/>
              <w:rPr>
                <w:color w:val="auto"/>
              </w:rPr>
            </w:pPr>
            <w:r>
              <w:rPr>
                <w:color w:val="auto"/>
              </w:rPr>
              <w:t>£1,760</w:t>
            </w:r>
          </w:p>
        </w:tc>
        <w:tc>
          <w:tcPr>
            <w:tcW w:w="1849" w:type="dxa"/>
          </w:tcPr>
          <w:p w:rsidR="002C32E9" w:rsidRPr="002C32E9" w:rsidRDefault="00BB20FA" w:rsidP="002C32E9">
            <w:pPr>
              <w:spacing w:after="0"/>
              <w:rPr>
                <w:color w:val="auto"/>
              </w:rPr>
            </w:pPr>
            <w:r>
              <w:rPr>
                <w:color w:val="auto"/>
              </w:rPr>
              <w:t>£3,272</w:t>
            </w:r>
          </w:p>
        </w:tc>
      </w:tr>
      <w:tr w:rsidR="00BB20FA" w:rsidRPr="002C32E9" w:rsidTr="002C32E9">
        <w:tc>
          <w:tcPr>
            <w:tcW w:w="1848" w:type="dxa"/>
          </w:tcPr>
          <w:p w:rsidR="002C32E9" w:rsidRPr="002C32E9" w:rsidRDefault="00BB20FA" w:rsidP="002C32E9">
            <w:pPr>
              <w:spacing w:after="0"/>
              <w:rPr>
                <w:color w:val="auto"/>
              </w:rPr>
            </w:pPr>
            <w:r>
              <w:rPr>
                <w:color w:val="auto"/>
              </w:rPr>
              <w:t>4 bedroom</w:t>
            </w:r>
          </w:p>
        </w:tc>
        <w:tc>
          <w:tcPr>
            <w:tcW w:w="1848" w:type="dxa"/>
          </w:tcPr>
          <w:p w:rsidR="002C32E9" w:rsidRPr="002C32E9" w:rsidRDefault="00BB20FA" w:rsidP="002C32E9">
            <w:pPr>
              <w:spacing w:after="0"/>
              <w:rPr>
                <w:color w:val="auto"/>
              </w:rPr>
            </w:pPr>
            <w:r>
              <w:rPr>
                <w:color w:val="auto"/>
              </w:rPr>
              <w:t>£1,375</w:t>
            </w:r>
          </w:p>
        </w:tc>
        <w:tc>
          <w:tcPr>
            <w:tcW w:w="1848" w:type="dxa"/>
          </w:tcPr>
          <w:p w:rsidR="002C32E9" w:rsidRPr="002C32E9" w:rsidRDefault="00BB20FA" w:rsidP="002C32E9">
            <w:pPr>
              <w:spacing w:after="0"/>
              <w:rPr>
                <w:color w:val="auto"/>
              </w:rPr>
            </w:pPr>
            <w:r>
              <w:rPr>
                <w:color w:val="auto"/>
              </w:rPr>
              <w:t>£1,500</w:t>
            </w:r>
          </w:p>
        </w:tc>
        <w:tc>
          <w:tcPr>
            <w:tcW w:w="1849" w:type="dxa"/>
          </w:tcPr>
          <w:p w:rsidR="002C32E9" w:rsidRPr="002C32E9" w:rsidRDefault="00BB20FA" w:rsidP="002C32E9">
            <w:pPr>
              <w:spacing w:after="0"/>
              <w:rPr>
                <w:color w:val="auto"/>
              </w:rPr>
            </w:pPr>
            <w:r>
              <w:rPr>
                <w:color w:val="auto"/>
              </w:rPr>
              <w:t>£2,141</w:t>
            </w:r>
          </w:p>
        </w:tc>
        <w:tc>
          <w:tcPr>
            <w:tcW w:w="1849" w:type="dxa"/>
          </w:tcPr>
          <w:p w:rsidR="002C32E9" w:rsidRPr="002C32E9" w:rsidRDefault="00BB20FA" w:rsidP="002C32E9">
            <w:pPr>
              <w:spacing w:after="0"/>
              <w:rPr>
                <w:color w:val="auto"/>
              </w:rPr>
            </w:pPr>
            <w:r>
              <w:rPr>
                <w:color w:val="auto"/>
              </w:rPr>
              <w:t>£3,874</w:t>
            </w:r>
          </w:p>
        </w:tc>
      </w:tr>
    </w:tbl>
    <w:p w:rsidR="002C32E9" w:rsidRPr="002C32E9" w:rsidRDefault="002C32E9" w:rsidP="002C32E9">
      <w:pPr>
        <w:spacing w:after="0"/>
        <w:ind w:left="720"/>
        <w:rPr>
          <w:rFonts w:eastAsia="Calibri" w:cs="Arial"/>
          <w:color w:val="auto"/>
        </w:rPr>
      </w:pPr>
    </w:p>
    <w:p w:rsidR="002C32E9" w:rsidRPr="002C32E9" w:rsidRDefault="002C32E9" w:rsidP="002C32E9">
      <w:pPr>
        <w:spacing w:after="0"/>
        <w:ind w:left="720"/>
        <w:rPr>
          <w:rFonts w:eastAsia="Calibri" w:cs="Arial"/>
          <w:color w:val="auto"/>
        </w:rPr>
      </w:pPr>
    </w:p>
    <w:p w:rsidR="002C32E9" w:rsidRPr="002C32E9" w:rsidRDefault="00483125" w:rsidP="002C32E9">
      <w:pPr>
        <w:numPr>
          <w:ilvl w:val="0"/>
          <w:numId w:val="34"/>
        </w:numPr>
        <w:spacing w:after="0"/>
        <w:rPr>
          <w:rFonts w:eastAsia="Calibri" w:cs="Arial"/>
          <w:color w:val="auto"/>
        </w:rPr>
      </w:pPr>
      <w:r>
        <w:rPr>
          <w:rFonts w:eastAsia="Calibri" w:cs="Arial"/>
          <w:color w:val="auto"/>
        </w:rPr>
        <w:t>The pilot will have made s</w:t>
      </w:r>
      <w:r w:rsidR="002C32E9" w:rsidRPr="002C32E9">
        <w:rPr>
          <w:rFonts w:eastAsia="Calibri" w:cs="Arial"/>
          <w:color w:val="auto"/>
        </w:rPr>
        <w:t xml:space="preserve">avings </w:t>
      </w:r>
      <w:r>
        <w:rPr>
          <w:rFonts w:eastAsia="Calibri" w:cs="Arial"/>
          <w:color w:val="auto"/>
        </w:rPr>
        <w:t>for the Council</w:t>
      </w:r>
      <w:r w:rsidR="002C32E9" w:rsidRPr="002C32E9">
        <w:rPr>
          <w:rFonts w:eastAsia="Calibri" w:cs="Arial"/>
          <w:color w:val="auto"/>
        </w:rPr>
        <w:t xml:space="preserve"> by the avoidance of temporary accommodation</w:t>
      </w:r>
      <w:r w:rsidR="00EC518A">
        <w:rPr>
          <w:rFonts w:eastAsia="Calibri" w:cs="Arial"/>
          <w:color w:val="auto"/>
        </w:rPr>
        <w:t>,</w:t>
      </w:r>
      <w:r w:rsidR="002C32E9" w:rsidRPr="002C32E9">
        <w:rPr>
          <w:rFonts w:eastAsia="Calibri" w:cs="Arial"/>
          <w:color w:val="auto"/>
        </w:rPr>
        <w:t xml:space="preserve"> costs that can be up to £500 a week.</w:t>
      </w:r>
      <w:r w:rsidR="00EC518A">
        <w:rPr>
          <w:rFonts w:eastAsia="Calibri" w:cs="Arial"/>
          <w:color w:val="auto"/>
        </w:rPr>
        <w:t xml:space="preserve"> The Rent Guarantee element has been very attractive for landlords, and without this element, it is estimated that new lets in Home Choice would continue to have declined by 15 properties over the two years of the pilot. This would have meant that families who have been housed in the pilot would have had to go into temporary accommodation. If 15 families were </w:t>
      </w:r>
      <w:r w:rsidR="00364B95">
        <w:rPr>
          <w:rFonts w:eastAsia="Calibri" w:cs="Arial"/>
          <w:color w:val="auto"/>
        </w:rPr>
        <w:t>housed in temporary accommodation</w:t>
      </w:r>
      <w:r w:rsidR="00EC518A">
        <w:rPr>
          <w:rFonts w:eastAsia="Calibri" w:cs="Arial"/>
          <w:color w:val="auto"/>
        </w:rPr>
        <w:t xml:space="preserve"> for a year</w:t>
      </w:r>
      <w:r w:rsidR="00364B95">
        <w:rPr>
          <w:rFonts w:eastAsia="Calibri" w:cs="Arial"/>
          <w:color w:val="auto"/>
        </w:rPr>
        <w:t xml:space="preserve"> in a 2 bedroom property, the Council would incur an additional £96,000 in costs, compared to being housed in the Home Choice pilot.</w:t>
      </w:r>
    </w:p>
    <w:p w:rsidR="002C32E9" w:rsidRPr="002C32E9" w:rsidRDefault="002C32E9" w:rsidP="002C32E9">
      <w:pPr>
        <w:spacing w:after="0"/>
        <w:ind w:left="720"/>
        <w:rPr>
          <w:rFonts w:eastAsia="Calibri" w:cs="Arial"/>
          <w:color w:val="auto"/>
        </w:rPr>
      </w:pPr>
    </w:p>
    <w:p w:rsidR="002C32E9" w:rsidRDefault="002C32E9" w:rsidP="00646B16">
      <w:pPr>
        <w:numPr>
          <w:ilvl w:val="0"/>
          <w:numId w:val="34"/>
        </w:numPr>
        <w:spacing w:after="0"/>
        <w:contextualSpacing/>
        <w:rPr>
          <w:rFonts w:eastAsia="Calibri" w:cs="Arial"/>
          <w:color w:val="auto"/>
        </w:rPr>
      </w:pPr>
      <w:r w:rsidRPr="00483125">
        <w:rPr>
          <w:rFonts w:eastAsia="Calibri" w:cs="Arial"/>
          <w:color w:val="auto"/>
        </w:rPr>
        <w:t xml:space="preserve">The </w:t>
      </w:r>
      <w:r w:rsidR="00364B95" w:rsidRPr="00483125">
        <w:rPr>
          <w:rFonts w:eastAsia="Calibri" w:cs="Arial"/>
          <w:color w:val="auto"/>
        </w:rPr>
        <w:t xml:space="preserve">proposed </w:t>
      </w:r>
      <w:r w:rsidRPr="00483125">
        <w:rPr>
          <w:rFonts w:eastAsia="Calibri" w:cs="Arial"/>
          <w:color w:val="auto"/>
        </w:rPr>
        <w:t xml:space="preserve">extension of the pilot would incur an additional £64,000 costs. These are broken down in Table 7 below. </w:t>
      </w:r>
    </w:p>
    <w:p w:rsidR="00483125" w:rsidRPr="00483125" w:rsidRDefault="00483125" w:rsidP="00483125">
      <w:pPr>
        <w:pStyle w:val="ListParagraph"/>
        <w:numPr>
          <w:ilvl w:val="0"/>
          <w:numId w:val="0"/>
        </w:numPr>
        <w:ind w:left="426"/>
        <w:rPr>
          <w:rFonts w:eastAsia="Calibri" w:cs="Arial"/>
          <w:color w:val="auto"/>
        </w:rPr>
      </w:pPr>
    </w:p>
    <w:p w:rsidR="002C32E9" w:rsidRPr="002C32E9" w:rsidRDefault="002C32E9" w:rsidP="002C32E9">
      <w:pPr>
        <w:spacing w:after="0"/>
        <w:ind w:left="720"/>
        <w:rPr>
          <w:rFonts w:eastAsia="Calibri" w:cs="Arial"/>
          <w:b/>
          <w:color w:val="auto"/>
        </w:rPr>
      </w:pPr>
      <w:proofErr w:type="gramStart"/>
      <w:r w:rsidRPr="002C32E9">
        <w:rPr>
          <w:rFonts w:eastAsia="Calibri" w:cs="Arial"/>
          <w:b/>
          <w:color w:val="auto"/>
        </w:rPr>
        <w:t>Table 7.</w:t>
      </w:r>
      <w:proofErr w:type="gramEnd"/>
    </w:p>
    <w:tbl>
      <w:tblPr>
        <w:tblStyle w:val="TableGrid1"/>
        <w:tblW w:w="0" w:type="auto"/>
        <w:tblInd w:w="690" w:type="dxa"/>
        <w:tblLook w:val="04A0" w:firstRow="1" w:lastRow="0" w:firstColumn="1" w:lastColumn="0" w:noHBand="0" w:noVBand="1"/>
      </w:tblPr>
      <w:tblGrid>
        <w:gridCol w:w="5230"/>
        <w:gridCol w:w="2268"/>
      </w:tblGrid>
      <w:tr w:rsidR="002C32E9" w:rsidRPr="002C32E9" w:rsidTr="002C32E9">
        <w:trPr>
          <w:trHeight w:val="300"/>
        </w:trPr>
        <w:tc>
          <w:tcPr>
            <w:tcW w:w="5230" w:type="dxa"/>
            <w:noWrap/>
            <w:hideMark/>
          </w:tcPr>
          <w:p w:rsidR="002C32E9" w:rsidRPr="002C32E9" w:rsidRDefault="002C32E9" w:rsidP="002C32E9">
            <w:pPr>
              <w:spacing w:after="0"/>
              <w:rPr>
                <w:b/>
                <w:bCs/>
                <w:color w:val="auto"/>
              </w:rPr>
            </w:pPr>
            <w:r w:rsidRPr="002C32E9">
              <w:rPr>
                <w:b/>
                <w:bCs/>
                <w:color w:val="auto"/>
              </w:rPr>
              <w:t>Expenditure Item</w:t>
            </w:r>
          </w:p>
        </w:tc>
        <w:tc>
          <w:tcPr>
            <w:tcW w:w="2268" w:type="dxa"/>
            <w:noWrap/>
            <w:hideMark/>
          </w:tcPr>
          <w:p w:rsidR="002C32E9" w:rsidRPr="002C32E9" w:rsidRDefault="002C32E9" w:rsidP="002C32E9">
            <w:pPr>
              <w:spacing w:after="0"/>
              <w:rPr>
                <w:b/>
                <w:bCs/>
                <w:color w:val="auto"/>
              </w:rPr>
            </w:pPr>
            <w:r w:rsidRPr="002C32E9">
              <w:rPr>
                <w:b/>
                <w:bCs/>
                <w:color w:val="auto"/>
              </w:rPr>
              <w:t>Cost</w:t>
            </w:r>
          </w:p>
        </w:tc>
      </w:tr>
      <w:tr w:rsidR="002C32E9" w:rsidRPr="002C32E9" w:rsidTr="002C32E9">
        <w:trPr>
          <w:trHeight w:val="300"/>
        </w:trPr>
        <w:tc>
          <w:tcPr>
            <w:tcW w:w="5230" w:type="dxa"/>
            <w:noWrap/>
            <w:hideMark/>
          </w:tcPr>
          <w:p w:rsidR="002C32E9" w:rsidRPr="002C32E9" w:rsidRDefault="002C32E9" w:rsidP="002C32E9">
            <w:pPr>
              <w:spacing w:after="0"/>
              <w:rPr>
                <w:color w:val="auto"/>
              </w:rPr>
            </w:pPr>
            <w:r w:rsidRPr="002C32E9">
              <w:rPr>
                <w:color w:val="auto"/>
              </w:rPr>
              <w:t>Housing Coach costs for Jul18 - Mar19</w:t>
            </w:r>
          </w:p>
        </w:tc>
        <w:tc>
          <w:tcPr>
            <w:tcW w:w="2268" w:type="dxa"/>
            <w:noWrap/>
            <w:hideMark/>
          </w:tcPr>
          <w:p w:rsidR="002C32E9" w:rsidRPr="002C32E9" w:rsidRDefault="002C32E9" w:rsidP="002C32E9">
            <w:pPr>
              <w:spacing w:after="0"/>
              <w:rPr>
                <w:color w:val="auto"/>
              </w:rPr>
            </w:pPr>
            <w:r w:rsidRPr="002C32E9">
              <w:rPr>
                <w:color w:val="auto"/>
              </w:rPr>
              <w:t>£27,042.75</w:t>
            </w:r>
          </w:p>
        </w:tc>
      </w:tr>
      <w:tr w:rsidR="002C32E9" w:rsidRPr="002C32E9" w:rsidTr="002C32E9">
        <w:trPr>
          <w:trHeight w:val="300"/>
        </w:trPr>
        <w:tc>
          <w:tcPr>
            <w:tcW w:w="5230" w:type="dxa"/>
            <w:noWrap/>
            <w:hideMark/>
          </w:tcPr>
          <w:p w:rsidR="002C32E9" w:rsidRPr="002C32E9" w:rsidRDefault="002C32E9" w:rsidP="002C32E9">
            <w:pPr>
              <w:spacing w:after="0"/>
              <w:rPr>
                <w:color w:val="auto"/>
              </w:rPr>
            </w:pPr>
            <w:r w:rsidRPr="002C32E9">
              <w:rPr>
                <w:color w:val="auto"/>
              </w:rPr>
              <w:t>Income  Officer costs for Oct18 - Mar19</w:t>
            </w:r>
          </w:p>
        </w:tc>
        <w:tc>
          <w:tcPr>
            <w:tcW w:w="2268" w:type="dxa"/>
            <w:noWrap/>
            <w:hideMark/>
          </w:tcPr>
          <w:p w:rsidR="002C32E9" w:rsidRPr="002C32E9" w:rsidRDefault="002C32E9" w:rsidP="002C32E9">
            <w:pPr>
              <w:spacing w:after="0"/>
              <w:rPr>
                <w:color w:val="auto"/>
              </w:rPr>
            </w:pPr>
            <w:r w:rsidRPr="002C32E9">
              <w:rPr>
                <w:color w:val="auto"/>
              </w:rPr>
              <w:t>£18,604.80</w:t>
            </w:r>
          </w:p>
        </w:tc>
      </w:tr>
      <w:tr w:rsidR="002C32E9" w:rsidRPr="002C32E9" w:rsidTr="002C32E9">
        <w:trPr>
          <w:trHeight w:val="300"/>
        </w:trPr>
        <w:tc>
          <w:tcPr>
            <w:tcW w:w="5230" w:type="dxa"/>
            <w:noWrap/>
            <w:hideMark/>
          </w:tcPr>
          <w:p w:rsidR="002C32E9" w:rsidRPr="002C32E9" w:rsidRDefault="002C32E9" w:rsidP="002C32E9">
            <w:pPr>
              <w:spacing w:after="0"/>
              <w:rPr>
                <w:color w:val="auto"/>
              </w:rPr>
            </w:pPr>
            <w:r w:rsidRPr="002C32E9">
              <w:rPr>
                <w:color w:val="auto"/>
              </w:rPr>
              <w:t>2nd Housing Coach costs from Oct18 - Mar19</w:t>
            </w:r>
          </w:p>
        </w:tc>
        <w:tc>
          <w:tcPr>
            <w:tcW w:w="2268" w:type="dxa"/>
            <w:noWrap/>
            <w:hideMark/>
          </w:tcPr>
          <w:p w:rsidR="002C32E9" w:rsidRPr="002C32E9" w:rsidRDefault="002C32E9" w:rsidP="002C32E9">
            <w:pPr>
              <w:spacing w:after="0"/>
              <w:rPr>
                <w:color w:val="auto"/>
              </w:rPr>
            </w:pPr>
            <w:r w:rsidRPr="002C32E9">
              <w:rPr>
                <w:color w:val="auto"/>
              </w:rPr>
              <w:t>£18,028.50</w:t>
            </w:r>
          </w:p>
        </w:tc>
      </w:tr>
      <w:tr w:rsidR="002C32E9" w:rsidRPr="002C32E9" w:rsidTr="002C32E9">
        <w:trPr>
          <w:trHeight w:val="300"/>
        </w:trPr>
        <w:tc>
          <w:tcPr>
            <w:tcW w:w="5230" w:type="dxa"/>
            <w:noWrap/>
            <w:hideMark/>
          </w:tcPr>
          <w:p w:rsidR="002C32E9" w:rsidRPr="002C32E9" w:rsidRDefault="002C32E9" w:rsidP="002C32E9">
            <w:pPr>
              <w:spacing w:after="0"/>
              <w:ind w:left="720"/>
              <w:contextualSpacing/>
              <w:jc w:val="right"/>
              <w:rPr>
                <w:color w:val="auto"/>
              </w:rPr>
            </w:pPr>
            <w:r w:rsidRPr="002C32E9">
              <w:rPr>
                <w:color w:val="auto"/>
              </w:rPr>
              <w:t>Total</w:t>
            </w:r>
          </w:p>
        </w:tc>
        <w:tc>
          <w:tcPr>
            <w:tcW w:w="2268" w:type="dxa"/>
            <w:noWrap/>
            <w:hideMark/>
          </w:tcPr>
          <w:p w:rsidR="002C32E9" w:rsidRPr="002C32E9" w:rsidRDefault="002C32E9" w:rsidP="002C32E9">
            <w:pPr>
              <w:spacing w:after="0"/>
              <w:rPr>
                <w:color w:val="auto"/>
              </w:rPr>
            </w:pPr>
            <w:r w:rsidRPr="002C32E9">
              <w:rPr>
                <w:color w:val="auto"/>
              </w:rPr>
              <w:t>£63,676.05</w:t>
            </w:r>
          </w:p>
        </w:tc>
      </w:tr>
    </w:tbl>
    <w:p w:rsidR="0040736F" w:rsidRPr="001356F1" w:rsidRDefault="00DA614B" w:rsidP="00B511FC">
      <w:pPr>
        <w:pStyle w:val="Heading1"/>
        <w:ind w:firstLine="360"/>
      </w:pPr>
      <w:r w:rsidRPr="001356F1">
        <w:lastRenderedPageBreak/>
        <w:t>Legal issues</w:t>
      </w:r>
    </w:p>
    <w:p w:rsidR="005419DC" w:rsidRPr="005419DC" w:rsidRDefault="005419DC" w:rsidP="005419DC">
      <w:pPr>
        <w:numPr>
          <w:ilvl w:val="0"/>
          <w:numId w:val="34"/>
        </w:numPr>
        <w:tabs>
          <w:tab w:val="left" w:pos="426"/>
        </w:tabs>
      </w:pPr>
      <w:r w:rsidRPr="005419DC">
        <w:t>Where tenants in the pilot have accrued arrears, the landlords of these properties have served notices to the tenants under sections 8 and 21 of the Housing Act (1988). One of the pilot objectives is to test whether evictions in this manner can be used in support of making “intentionally homeless” decisions. Legal colleagues will be consulted throughout this process.</w:t>
      </w:r>
    </w:p>
    <w:p w:rsidR="002329CF" w:rsidRPr="001356F1" w:rsidRDefault="002329CF" w:rsidP="00B511FC">
      <w:pPr>
        <w:pStyle w:val="Heading1"/>
        <w:ind w:firstLine="360"/>
      </w:pPr>
      <w:r w:rsidRPr="001356F1">
        <w:t>Level of risk</w:t>
      </w:r>
    </w:p>
    <w:p w:rsidR="00BC69A4" w:rsidRPr="001356F1" w:rsidRDefault="009F48D2" w:rsidP="009F48D2">
      <w:pPr>
        <w:pStyle w:val="ListParagraph"/>
        <w:numPr>
          <w:ilvl w:val="0"/>
          <w:numId w:val="34"/>
        </w:numPr>
      </w:pPr>
      <w:r>
        <w:t>A</w:t>
      </w:r>
      <w:r w:rsidR="0093067A" w:rsidRPr="001356F1">
        <w:t xml:space="preserve"> </w:t>
      </w:r>
      <w:r w:rsidR="00151888" w:rsidRPr="001356F1">
        <w:t>R</w:t>
      </w:r>
      <w:r w:rsidR="002329CF" w:rsidRPr="001356F1">
        <w:t xml:space="preserve">isk </w:t>
      </w:r>
      <w:r w:rsidR="00151888" w:rsidRPr="001356F1">
        <w:t>R</w:t>
      </w:r>
      <w:r w:rsidR="0093067A" w:rsidRPr="001356F1">
        <w:t>egister</w:t>
      </w:r>
      <w:r w:rsidR="002329CF" w:rsidRPr="001356F1">
        <w:t xml:space="preserve"> </w:t>
      </w:r>
      <w:r>
        <w:t>is attached at</w:t>
      </w:r>
      <w:r w:rsidR="002329CF" w:rsidRPr="001356F1">
        <w:t xml:space="preserve"> </w:t>
      </w:r>
      <w:r>
        <w:t>A</w:t>
      </w:r>
      <w:r w:rsidR="002329CF" w:rsidRPr="001356F1">
        <w:t>ppendix</w:t>
      </w:r>
      <w:r>
        <w:t xml:space="preserve"> Three</w:t>
      </w:r>
      <w:r w:rsidR="002329CF" w:rsidRPr="001356F1">
        <w:t xml:space="preserve">. </w:t>
      </w:r>
    </w:p>
    <w:p w:rsidR="002329CF" w:rsidRPr="001356F1" w:rsidRDefault="002329CF" w:rsidP="00B511FC">
      <w:pPr>
        <w:pStyle w:val="Heading1"/>
        <w:ind w:firstLine="360"/>
      </w:pPr>
      <w:r w:rsidRPr="001356F1">
        <w:t xml:space="preserve">Equalities impact </w:t>
      </w:r>
    </w:p>
    <w:p w:rsidR="00E206D6" w:rsidRPr="001356F1" w:rsidRDefault="009F48D2" w:rsidP="00E206D6">
      <w:pPr>
        <w:pStyle w:val="ListParagraph"/>
        <w:numPr>
          <w:ilvl w:val="0"/>
          <w:numId w:val="0"/>
        </w:numPr>
        <w:ind w:left="426"/>
      </w:pPr>
      <w:r w:rsidRPr="009F48D2">
        <w:t xml:space="preserve">The </w:t>
      </w:r>
      <w:r>
        <w:t xml:space="preserve">Home Choice pilot only works with vulnerable residents at risk of homelessness </w:t>
      </w:r>
      <w:r w:rsidRPr="009F48D2">
        <w:t>and so an impact assessment is not required.</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C32E9"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C32E9" w:rsidP="00A46E98">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C32E9" w:rsidP="00A46E98">
            <w:r>
              <w:t>Housing Needs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2C32E9"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C32E9" w:rsidP="002C32E9">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7B758B"/>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15" w:rsidRDefault="00EC4615" w:rsidP="004A6D2F">
      <w:r>
        <w:separator/>
      </w:r>
    </w:p>
  </w:endnote>
  <w:endnote w:type="continuationSeparator" w:id="0">
    <w:p w:rsidR="00EC4615" w:rsidRDefault="00EC461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8E" w:rsidRDefault="00E22E8E" w:rsidP="004A6D2F">
    <w:pPr>
      <w:pStyle w:val="Footer"/>
    </w:pPr>
    <w:r>
      <w:t>Do not use a footer or page numbers.</w:t>
    </w:r>
  </w:p>
  <w:p w:rsidR="00E22E8E" w:rsidRDefault="00E22E8E" w:rsidP="004A6D2F">
    <w:pPr>
      <w:pStyle w:val="Footer"/>
    </w:pPr>
  </w:p>
  <w:p w:rsidR="00E22E8E" w:rsidRDefault="00E22E8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8E" w:rsidRDefault="00E22E8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15" w:rsidRDefault="00EC4615" w:rsidP="004A6D2F">
      <w:r>
        <w:separator/>
      </w:r>
    </w:p>
  </w:footnote>
  <w:footnote w:type="continuationSeparator" w:id="0">
    <w:p w:rsidR="00EC4615" w:rsidRDefault="00EC461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8E" w:rsidRDefault="00E22E8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303F90"/>
    <w:multiLevelType w:val="hybridMultilevel"/>
    <w:tmpl w:val="641C1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6941B6E"/>
    <w:multiLevelType w:val="hybridMultilevel"/>
    <w:tmpl w:val="EFDEB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FD47600"/>
    <w:multiLevelType w:val="hybridMultilevel"/>
    <w:tmpl w:val="4E52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4005D0C"/>
    <w:multiLevelType w:val="hybridMultilevel"/>
    <w:tmpl w:val="C8C60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2B6779D"/>
    <w:multiLevelType w:val="hybridMultilevel"/>
    <w:tmpl w:val="BBF06EF6"/>
    <w:lvl w:ilvl="0" w:tplc="B8E6F2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7B4F98"/>
    <w:multiLevelType w:val="hybridMultilevel"/>
    <w:tmpl w:val="85F69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3CF368F"/>
    <w:multiLevelType w:val="hybridMultilevel"/>
    <w:tmpl w:val="8188A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6657A53"/>
    <w:multiLevelType w:val="hybridMultilevel"/>
    <w:tmpl w:val="45AA1FA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F4692"/>
    <w:multiLevelType w:val="hybridMultilevel"/>
    <w:tmpl w:val="A19C6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1092F57"/>
    <w:multiLevelType w:val="hybridMultilevel"/>
    <w:tmpl w:val="AFCCC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98365C6"/>
    <w:multiLevelType w:val="multilevel"/>
    <w:tmpl w:val="E67CE66C"/>
    <w:numStyleLink w:val="StyleNumberedLeft0cmHanging075cm"/>
  </w:abstractNum>
  <w:num w:numId="1">
    <w:abstractNumId w:val="30"/>
  </w:num>
  <w:num w:numId="2">
    <w:abstractNumId w:val="38"/>
  </w:num>
  <w:num w:numId="3">
    <w:abstractNumId w:val="27"/>
  </w:num>
  <w:num w:numId="4">
    <w:abstractNumId w:val="22"/>
  </w:num>
  <w:num w:numId="5">
    <w:abstractNumId w:val="32"/>
  </w:num>
  <w:num w:numId="6">
    <w:abstractNumId w:val="40"/>
  </w:num>
  <w:num w:numId="7">
    <w:abstractNumId w:val="26"/>
  </w:num>
  <w:num w:numId="8">
    <w:abstractNumId w:val="23"/>
  </w:num>
  <w:num w:numId="9">
    <w:abstractNumId w:val="15"/>
  </w:num>
  <w:num w:numId="10">
    <w:abstractNumId w:val="18"/>
  </w:num>
  <w:num w:numId="11">
    <w:abstractNumId w:val="29"/>
  </w:num>
  <w:num w:numId="12">
    <w:abstractNumId w:val="28"/>
  </w:num>
  <w:num w:numId="13">
    <w:abstractNumId w:val="10"/>
  </w:num>
  <w:num w:numId="14">
    <w:abstractNumId w:val="42"/>
  </w:num>
  <w:num w:numId="15">
    <w:abstractNumId w:val="19"/>
  </w:num>
  <w:num w:numId="16">
    <w:abstractNumId w:val="11"/>
  </w:num>
  <w:num w:numId="17">
    <w:abstractNumId w:val="31"/>
  </w:num>
  <w:num w:numId="18">
    <w:abstractNumId w:val="12"/>
  </w:num>
  <w:num w:numId="19">
    <w:abstractNumId w:val="34"/>
  </w:num>
  <w:num w:numId="20">
    <w:abstractNumId w:val="20"/>
  </w:num>
  <w:num w:numId="21">
    <w:abstractNumId w:val="24"/>
  </w:num>
  <w:num w:numId="22">
    <w:abstractNumId w:val="16"/>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33"/>
  </w:num>
  <w:num w:numId="36">
    <w:abstractNumId w:val="14"/>
  </w:num>
  <w:num w:numId="37">
    <w:abstractNumId w:val="21"/>
  </w:num>
  <w:num w:numId="38">
    <w:abstractNumId w:val="35"/>
  </w:num>
  <w:num w:numId="39">
    <w:abstractNumId w:val="17"/>
  </w:num>
  <w:num w:numId="40">
    <w:abstractNumId w:val="13"/>
  </w:num>
  <w:num w:numId="41">
    <w:abstractNumId w:val="41"/>
  </w:num>
  <w:num w:numId="42">
    <w:abstractNumId w:val="36"/>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5049"/>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32E9"/>
    <w:rsid w:val="002C5743"/>
    <w:rsid w:val="002C64F7"/>
    <w:rsid w:val="002F41F2"/>
    <w:rsid w:val="002F7837"/>
    <w:rsid w:val="00301BF3"/>
    <w:rsid w:val="0030208D"/>
    <w:rsid w:val="00323418"/>
    <w:rsid w:val="003357BF"/>
    <w:rsid w:val="00364B95"/>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6E"/>
    <w:rsid w:val="00421CB2"/>
    <w:rsid w:val="004268B9"/>
    <w:rsid w:val="00433B96"/>
    <w:rsid w:val="004440F1"/>
    <w:rsid w:val="004456DD"/>
    <w:rsid w:val="00446CDF"/>
    <w:rsid w:val="004521B7"/>
    <w:rsid w:val="00462AB5"/>
    <w:rsid w:val="00465EAF"/>
    <w:rsid w:val="004738C5"/>
    <w:rsid w:val="00483125"/>
    <w:rsid w:val="00491046"/>
    <w:rsid w:val="004A2AC7"/>
    <w:rsid w:val="004A6D2F"/>
    <w:rsid w:val="004C2887"/>
    <w:rsid w:val="004D2626"/>
    <w:rsid w:val="004D6E26"/>
    <w:rsid w:val="004D77D3"/>
    <w:rsid w:val="004E2959"/>
    <w:rsid w:val="004F20EF"/>
    <w:rsid w:val="0050321C"/>
    <w:rsid w:val="005419D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6BB4"/>
    <w:rsid w:val="005E022E"/>
    <w:rsid w:val="005E5215"/>
    <w:rsid w:val="005F7F7E"/>
    <w:rsid w:val="00614693"/>
    <w:rsid w:val="00623C2F"/>
    <w:rsid w:val="00633578"/>
    <w:rsid w:val="00637068"/>
    <w:rsid w:val="00650811"/>
    <w:rsid w:val="00661D3E"/>
    <w:rsid w:val="0068641C"/>
    <w:rsid w:val="00692627"/>
    <w:rsid w:val="006969E7"/>
    <w:rsid w:val="006A3643"/>
    <w:rsid w:val="006C2A29"/>
    <w:rsid w:val="006C64CF"/>
    <w:rsid w:val="006D17B1"/>
    <w:rsid w:val="006D4752"/>
    <w:rsid w:val="006D708A"/>
    <w:rsid w:val="006E14C1"/>
    <w:rsid w:val="006E2B6F"/>
    <w:rsid w:val="006F0292"/>
    <w:rsid w:val="006F27FA"/>
    <w:rsid w:val="006F416B"/>
    <w:rsid w:val="006F519B"/>
    <w:rsid w:val="00703EF3"/>
    <w:rsid w:val="00713675"/>
    <w:rsid w:val="00715823"/>
    <w:rsid w:val="00726B56"/>
    <w:rsid w:val="00737B93"/>
    <w:rsid w:val="00745BF0"/>
    <w:rsid w:val="007615FE"/>
    <w:rsid w:val="0076655C"/>
    <w:rsid w:val="007742DC"/>
    <w:rsid w:val="00791437"/>
    <w:rsid w:val="007B0C2C"/>
    <w:rsid w:val="007B278E"/>
    <w:rsid w:val="007B758B"/>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1553A"/>
    <w:rsid w:val="0093067A"/>
    <w:rsid w:val="00941C60"/>
    <w:rsid w:val="0095542A"/>
    <w:rsid w:val="00966D42"/>
    <w:rsid w:val="00971689"/>
    <w:rsid w:val="00973E90"/>
    <w:rsid w:val="00975B07"/>
    <w:rsid w:val="00980B4A"/>
    <w:rsid w:val="009D55D8"/>
    <w:rsid w:val="009E3D0A"/>
    <w:rsid w:val="009E51FC"/>
    <w:rsid w:val="009F1D28"/>
    <w:rsid w:val="009F48D2"/>
    <w:rsid w:val="009F7618"/>
    <w:rsid w:val="00A04D23"/>
    <w:rsid w:val="00A055DD"/>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511FC"/>
    <w:rsid w:val="00B51878"/>
    <w:rsid w:val="00B86314"/>
    <w:rsid w:val="00BA1C2E"/>
    <w:rsid w:val="00BB0801"/>
    <w:rsid w:val="00BB20FA"/>
    <w:rsid w:val="00BC200B"/>
    <w:rsid w:val="00BC4756"/>
    <w:rsid w:val="00BC69A4"/>
    <w:rsid w:val="00BC7565"/>
    <w:rsid w:val="00BE0680"/>
    <w:rsid w:val="00BE305F"/>
    <w:rsid w:val="00BE7BA3"/>
    <w:rsid w:val="00BF5682"/>
    <w:rsid w:val="00BF7B09"/>
    <w:rsid w:val="00C20A95"/>
    <w:rsid w:val="00C2692F"/>
    <w:rsid w:val="00C3207C"/>
    <w:rsid w:val="00C400E1"/>
    <w:rsid w:val="00C41187"/>
    <w:rsid w:val="00C63C31"/>
    <w:rsid w:val="00C73A49"/>
    <w:rsid w:val="00C757A0"/>
    <w:rsid w:val="00C760DE"/>
    <w:rsid w:val="00C82630"/>
    <w:rsid w:val="00C85B4E"/>
    <w:rsid w:val="00C907F7"/>
    <w:rsid w:val="00CA2103"/>
    <w:rsid w:val="00CB6B99"/>
    <w:rsid w:val="00CE318A"/>
    <w:rsid w:val="00CE4C87"/>
    <w:rsid w:val="00CE544A"/>
    <w:rsid w:val="00D11E1C"/>
    <w:rsid w:val="00D160B0"/>
    <w:rsid w:val="00D17F94"/>
    <w:rsid w:val="00D223FC"/>
    <w:rsid w:val="00D26D1E"/>
    <w:rsid w:val="00D4033A"/>
    <w:rsid w:val="00D474CF"/>
    <w:rsid w:val="00D52599"/>
    <w:rsid w:val="00D5547E"/>
    <w:rsid w:val="00D869A1"/>
    <w:rsid w:val="00DA413F"/>
    <w:rsid w:val="00DA4584"/>
    <w:rsid w:val="00DA614B"/>
    <w:rsid w:val="00DC2168"/>
    <w:rsid w:val="00DC3060"/>
    <w:rsid w:val="00DE0FB2"/>
    <w:rsid w:val="00DF093E"/>
    <w:rsid w:val="00E01F42"/>
    <w:rsid w:val="00E206D6"/>
    <w:rsid w:val="00E22E8E"/>
    <w:rsid w:val="00E3366E"/>
    <w:rsid w:val="00E52086"/>
    <w:rsid w:val="00E543A6"/>
    <w:rsid w:val="00E60479"/>
    <w:rsid w:val="00E61D73"/>
    <w:rsid w:val="00E73684"/>
    <w:rsid w:val="00E818D6"/>
    <w:rsid w:val="00E87F7A"/>
    <w:rsid w:val="00E96BD7"/>
    <w:rsid w:val="00EA0DB1"/>
    <w:rsid w:val="00EA0EE9"/>
    <w:rsid w:val="00EC4615"/>
    <w:rsid w:val="00EC518A"/>
    <w:rsid w:val="00ED52CA"/>
    <w:rsid w:val="00ED5860"/>
    <w:rsid w:val="00EE35C9"/>
    <w:rsid w:val="00EF105B"/>
    <w:rsid w:val="00F05ECA"/>
    <w:rsid w:val="00F3566E"/>
    <w:rsid w:val="00F375FB"/>
    <w:rsid w:val="00F41AC1"/>
    <w:rsid w:val="00F4367A"/>
    <w:rsid w:val="00F445B1"/>
    <w:rsid w:val="00F45CD4"/>
    <w:rsid w:val="00F626FC"/>
    <w:rsid w:val="00F66DCA"/>
    <w:rsid w:val="00F74F53"/>
    <w:rsid w:val="00F7606D"/>
    <w:rsid w:val="00F81670"/>
    <w:rsid w:val="00F82024"/>
    <w:rsid w:val="00F867A5"/>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C32E9"/>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C32E9"/>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649C-C3F3-49C3-B380-B37C4D45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91ACFD27</Template>
  <TotalTime>12</TotalTime>
  <Pages>8</Pages>
  <Words>2916</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8</cp:revision>
  <cp:lastPrinted>2015-07-03T12:50:00Z</cp:lastPrinted>
  <dcterms:created xsi:type="dcterms:W3CDTF">2018-05-11T08:54:00Z</dcterms:created>
  <dcterms:modified xsi:type="dcterms:W3CDTF">2018-06-01T15:58:00Z</dcterms:modified>
</cp:coreProperties>
</file>